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D524" w14:textId="77777777" w:rsidR="0088516D" w:rsidRPr="0088516D" w:rsidRDefault="0088516D" w:rsidP="0088516D">
      <w:pPr>
        <w:rPr>
          <w:rFonts w:ascii="Calibri" w:hAnsi="Calibri" w:cs="Times New Roman"/>
          <w:b/>
          <w:color w:val="FFB200"/>
          <w:sz w:val="36"/>
          <w:szCs w:val="36"/>
        </w:rPr>
      </w:pPr>
      <w:r w:rsidRPr="0088516D">
        <w:rPr>
          <w:rFonts w:ascii="Calibri" w:hAnsi="Calibri" w:cs="Times New Roman"/>
          <w:b/>
          <w:color w:val="FFB200"/>
          <w:sz w:val="36"/>
          <w:szCs w:val="36"/>
        </w:rPr>
        <w:t>E</w:t>
      </w:r>
      <w:r w:rsidR="00626195">
        <w:rPr>
          <w:rFonts w:ascii="Calibri" w:hAnsi="Calibri" w:cs="Times New Roman"/>
          <w:b/>
          <w:color w:val="FFB200"/>
          <w:sz w:val="36"/>
          <w:szCs w:val="36"/>
        </w:rPr>
        <w:t>uropean Union Scholarships (</w:t>
      </w:r>
      <w:proofErr w:type="spellStart"/>
      <w:r w:rsidR="00626195">
        <w:rPr>
          <w:rFonts w:ascii="Calibri" w:hAnsi="Calibri" w:cs="Times New Roman"/>
          <w:b/>
          <w:color w:val="FFB200"/>
          <w:sz w:val="36"/>
          <w:szCs w:val="36"/>
        </w:rPr>
        <w:t>BEUr</w:t>
      </w:r>
      <w:r w:rsidRPr="0088516D">
        <w:rPr>
          <w:rFonts w:ascii="Calibri" w:hAnsi="Calibri" w:cs="Times New Roman"/>
          <w:b/>
          <w:color w:val="FFB200"/>
          <w:sz w:val="36"/>
          <w:szCs w:val="36"/>
        </w:rPr>
        <w:t>s</w:t>
      </w:r>
      <w:proofErr w:type="spellEnd"/>
      <w:r w:rsidRPr="0088516D">
        <w:rPr>
          <w:rFonts w:ascii="Calibri" w:hAnsi="Calibri" w:cs="Times New Roman"/>
          <w:b/>
          <w:color w:val="FFB200"/>
          <w:sz w:val="36"/>
          <w:szCs w:val="36"/>
        </w:rPr>
        <w:t>) Project</w:t>
      </w:r>
      <w:r>
        <w:rPr>
          <w:rFonts w:ascii="Calibri" w:hAnsi="Calibri" w:cs="Times New Roman"/>
          <w:b/>
          <w:color w:val="FFB200"/>
          <w:sz w:val="36"/>
          <w:szCs w:val="36"/>
        </w:rPr>
        <w:t xml:space="preserve"> </w:t>
      </w:r>
    </w:p>
    <w:p w14:paraId="46A89235" w14:textId="77777777" w:rsidR="00851B46" w:rsidRDefault="00851B46" w:rsidP="00C565B9">
      <w:pPr>
        <w:pStyle w:val="Headline"/>
      </w:pPr>
    </w:p>
    <w:p w14:paraId="4BFDC3B6" w14:textId="77777777" w:rsidR="003A155D" w:rsidRPr="003A155D" w:rsidRDefault="003A155D" w:rsidP="00BA7694">
      <w:pPr>
        <w:pStyle w:val="Headline"/>
        <w:spacing w:beforeLines="20" w:before="48" w:afterLines="50" w:after="120"/>
      </w:pPr>
      <w:r w:rsidRPr="003A155D">
        <w:t>Executive Summary</w:t>
      </w:r>
    </w:p>
    <w:p w14:paraId="6149E964" w14:textId="563E8F7E" w:rsidR="00B37824" w:rsidRDefault="00003CF1" w:rsidP="00436FF4">
      <w:pPr>
        <w:rPr>
          <w:rFonts w:ascii="Calibri" w:hAnsi="Calibri"/>
          <w:szCs w:val="22"/>
          <w:lang w:eastAsia="tr-TR"/>
        </w:rPr>
      </w:pPr>
      <w:r w:rsidRPr="00626195">
        <w:rPr>
          <w:rFonts w:ascii="Calibri" w:hAnsi="Calibri"/>
          <w:szCs w:val="22"/>
          <w:lang w:eastAsia="tr-TR"/>
        </w:rPr>
        <w:t>The project ‘</w:t>
      </w:r>
      <w:r w:rsidR="00751FCD" w:rsidRPr="00626195">
        <w:rPr>
          <w:rFonts w:ascii="Calibri" w:hAnsi="Calibri"/>
          <w:szCs w:val="22"/>
          <w:lang w:eastAsia="tr-TR"/>
        </w:rPr>
        <w:t>European Union Scholarships (</w:t>
      </w:r>
      <w:proofErr w:type="spellStart"/>
      <w:r w:rsidR="00751FCD" w:rsidRPr="00626195">
        <w:rPr>
          <w:rFonts w:ascii="Calibri" w:hAnsi="Calibri"/>
          <w:szCs w:val="22"/>
          <w:lang w:eastAsia="tr-TR"/>
        </w:rPr>
        <w:t>BEUrs</w:t>
      </w:r>
      <w:proofErr w:type="spellEnd"/>
      <w:r w:rsidR="00751FCD" w:rsidRPr="00626195">
        <w:rPr>
          <w:rFonts w:ascii="Calibri" w:hAnsi="Calibri"/>
          <w:szCs w:val="22"/>
          <w:lang w:eastAsia="tr-TR"/>
        </w:rPr>
        <w:t>) Project</w:t>
      </w:r>
      <w:r w:rsidRPr="00626195">
        <w:rPr>
          <w:rFonts w:ascii="Calibri" w:hAnsi="Calibri"/>
          <w:szCs w:val="22"/>
          <w:lang w:eastAsia="tr-TR"/>
        </w:rPr>
        <w:t xml:space="preserve">’ </w:t>
      </w:r>
      <w:r w:rsidR="00E340F2" w:rsidRPr="00626195">
        <w:rPr>
          <w:rFonts w:ascii="Calibri" w:hAnsi="Calibri"/>
          <w:szCs w:val="22"/>
          <w:lang w:eastAsia="tr-TR"/>
        </w:rPr>
        <w:t>aims</w:t>
      </w:r>
      <w:r w:rsidRPr="00626195">
        <w:rPr>
          <w:rFonts w:ascii="Calibri" w:hAnsi="Calibri"/>
          <w:szCs w:val="22"/>
          <w:lang w:eastAsia="tr-TR"/>
        </w:rPr>
        <w:t xml:space="preserve"> to </w:t>
      </w:r>
      <w:r w:rsidR="008C25B6" w:rsidRPr="00626195">
        <w:rPr>
          <w:rFonts w:ascii="Calibri" w:hAnsi="Calibri"/>
          <w:szCs w:val="22"/>
          <w:lang w:eastAsia="tr-TR"/>
        </w:rPr>
        <w:t xml:space="preserve">increase access to higher education </w:t>
      </w:r>
      <w:r w:rsidR="00E340F2" w:rsidRPr="00E340F2">
        <w:rPr>
          <w:rFonts w:ascii="Calibri" w:hAnsi="Calibri"/>
          <w:szCs w:val="22"/>
          <w:lang w:eastAsia="tr-TR"/>
        </w:rPr>
        <w:t xml:space="preserve">and </w:t>
      </w:r>
      <w:r w:rsidR="00570B7D" w:rsidRPr="00570B7D">
        <w:rPr>
          <w:rFonts w:ascii="Calibri" w:hAnsi="Calibri"/>
          <w:szCs w:val="22"/>
          <w:lang w:eastAsia="tr-TR"/>
        </w:rPr>
        <w:t xml:space="preserve">strengthen pathways to employment through skill development and social cohesion </w:t>
      </w:r>
      <w:r w:rsidR="00E4725B">
        <w:rPr>
          <w:rFonts w:ascii="Calibri" w:hAnsi="Calibri"/>
          <w:szCs w:val="22"/>
          <w:lang w:eastAsia="tr-TR"/>
        </w:rPr>
        <w:t>for</w:t>
      </w:r>
      <w:r w:rsidR="00E4725B" w:rsidRPr="00E340F2">
        <w:rPr>
          <w:rFonts w:ascii="Calibri" w:hAnsi="Calibri"/>
          <w:szCs w:val="22"/>
          <w:lang w:eastAsia="tr-TR"/>
        </w:rPr>
        <w:t xml:space="preserve"> </w:t>
      </w:r>
      <w:r w:rsidR="00E340F2" w:rsidRPr="00E340F2">
        <w:rPr>
          <w:rFonts w:ascii="Calibri" w:hAnsi="Calibri"/>
          <w:szCs w:val="22"/>
          <w:lang w:eastAsia="tr-TR"/>
        </w:rPr>
        <w:t xml:space="preserve">Syrian students under temporary protection, students under international protection and </w:t>
      </w:r>
      <w:r w:rsidR="00D02711" w:rsidRPr="00D02711">
        <w:rPr>
          <w:rFonts w:ascii="Calibri" w:hAnsi="Calibri"/>
          <w:szCs w:val="22"/>
          <w:lang w:eastAsia="tr-TR"/>
        </w:rPr>
        <w:t>students with Turkish citizenship</w:t>
      </w:r>
      <w:r w:rsidR="00D02711">
        <w:rPr>
          <w:rFonts w:ascii="Calibri" w:hAnsi="Calibri"/>
          <w:szCs w:val="22"/>
          <w:lang w:eastAsia="tr-TR"/>
        </w:rPr>
        <w:t>.</w:t>
      </w:r>
      <w:r w:rsidR="00E340F2" w:rsidRPr="00626195">
        <w:rPr>
          <w:rFonts w:ascii="Calibri" w:hAnsi="Calibri"/>
          <w:szCs w:val="22"/>
          <w:lang w:eastAsia="tr-TR"/>
        </w:rPr>
        <w:t xml:space="preserve"> </w:t>
      </w:r>
    </w:p>
    <w:p w14:paraId="6B8B9E15" w14:textId="77777777" w:rsidR="00BE3C28" w:rsidRPr="00626195" w:rsidRDefault="00BE3C28" w:rsidP="00436FF4">
      <w:pPr>
        <w:rPr>
          <w:rFonts w:ascii="Calibri" w:hAnsi="Calibri"/>
          <w:szCs w:val="22"/>
          <w:lang w:eastAsia="tr-TR"/>
        </w:rPr>
      </w:pPr>
    </w:p>
    <w:p w14:paraId="663C7606" w14:textId="77777777" w:rsidR="00436FF4" w:rsidRDefault="008C25B6" w:rsidP="00B37824">
      <w:pPr>
        <w:rPr>
          <w:rFonts w:ascii="Calibri" w:hAnsi="Calibri"/>
          <w:szCs w:val="22"/>
          <w:lang w:eastAsia="tr-TR"/>
        </w:rPr>
      </w:pPr>
      <w:r w:rsidRPr="008C25B6">
        <w:rPr>
          <w:rFonts w:ascii="Calibri" w:hAnsi="Calibri"/>
          <w:szCs w:val="22"/>
          <w:lang w:eastAsia="tr-TR"/>
        </w:rPr>
        <w:t xml:space="preserve">The project provides </w:t>
      </w:r>
      <w:r>
        <w:rPr>
          <w:rFonts w:ascii="Calibri" w:hAnsi="Calibri"/>
          <w:szCs w:val="22"/>
          <w:lang w:eastAsia="tr-TR"/>
        </w:rPr>
        <w:t>scholarship support to increase the</w:t>
      </w:r>
      <w:r w:rsidRPr="008C25B6">
        <w:rPr>
          <w:rFonts w:ascii="Calibri" w:hAnsi="Calibri"/>
          <w:szCs w:val="22"/>
          <w:lang w:eastAsia="tr-TR"/>
        </w:rPr>
        <w:t xml:space="preserve"> quality of higher education</w:t>
      </w:r>
      <w:r>
        <w:rPr>
          <w:rFonts w:ascii="Calibri" w:hAnsi="Calibri"/>
          <w:szCs w:val="22"/>
          <w:lang w:eastAsia="tr-TR"/>
        </w:rPr>
        <w:t xml:space="preserve"> </w:t>
      </w:r>
      <w:r w:rsidRPr="008C25B6">
        <w:rPr>
          <w:rFonts w:ascii="Calibri" w:hAnsi="Calibri"/>
          <w:szCs w:val="22"/>
          <w:lang w:eastAsia="tr-TR"/>
        </w:rPr>
        <w:t xml:space="preserve">and associated services to undergraduate/graduate studies. </w:t>
      </w:r>
      <w:r w:rsidR="00E4725B">
        <w:rPr>
          <w:rFonts w:ascii="Calibri" w:hAnsi="Calibri"/>
          <w:szCs w:val="22"/>
          <w:lang w:eastAsia="tr-TR"/>
        </w:rPr>
        <w:t>G</w:t>
      </w:r>
      <w:r w:rsidRPr="008C25B6">
        <w:rPr>
          <w:rFonts w:ascii="Calibri" w:hAnsi="Calibri"/>
          <w:szCs w:val="22"/>
          <w:lang w:eastAsia="tr-TR"/>
        </w:rPr>
        <w:t>ender mainst</w:t>
      </w:r>
      <w:r w:rsidR="00E4725B">
        <w:rPr>
          <w:rFonts w:ascii="Calibri" w:hAnsi="Calibri"/>
          <w:szCs w:val="22"/>
          <w:lang w:eastAsia="tr-TR"/>
        </w:rPr>
        <w:t>r</w:t>
      </w:r>
      <w:r w:rsidRPr="008C25B6">
        <w:rPr>
          <w:rFonts w:ascii="Calibri" w:hAnsi="Calibri"/>
          <w:szCs w:val="22"/>
          <w:lang w:eastAsia="tr-TR"/>
        </w:rPr>
        <w:t>eaming and disability inclusion</w:t>
      </w:r>
      <w:r w:rsidR="00E4725B">
        <w:rPr>
          <w:rFonts w:ascii="Calibri" w:hAnsi="Calibri"/>
          <w:szCs w:val="22"/>
          <w:lang w:eastAsia="tr-TR"/>
        </w:rPr>
        <w:t xml:space="preserve"> and other vulnerabilities </w:t>
      </w:r>
      <w:r w:rsidR="00B37824">
        <w:rPr>
          <w:rFonts w:ascii="Calibri" w:hAnsi="Calibri"/>
          <w:szCs w:val="22"/>
          <w:lang w:eastAsia="tr-TR"/>
        </w:rPr>
        <w:t>are the fundamental approach</w:t>
      </w:r>
      <w:r w:rsidR="00E4725B">
        <w:rPr>
          <w:rFonts w:ascii="Calibri" w:hAnsi="Calibri"/>
          <w:szCs w:val="22"/>
          <w:lang w:eastAsia="tr-TR"/>
        </w:rPr>
        <w:t>es</w:t>
      </w:r>
      <w:r w:rsidR="00B37824">
        <w:rPr>
          <w:rFonts w:ascii="Calibri" w:hAnsi="Calibri"/>
          <w:szCs w:val="22"/>
          <w:lang w:eastAsia="tr-TR"/>
        </w:rPr>
        <w:t xml:space="preserve"> </w:t>
      </w:r>
      <w:r>
        <w:rPr>
          <w:rFonts w:ascii="Calibri" w:hAnsi="Calibri"/>
          <w:szCs w:val="22"/>
          <w:lang w:eastAsia="tr-TR"/>
        </w:rPr>
        <w:t>during the</w:t>
      </w:r>
      <w:r w:rsidR="00B37824">
        <w:rPr>
          <w:rFonts w:ascii="Calibri" w:hAnsi="Calibri"/>
          <w:szCs w:val="22"/>
          <w:lang w:eastAsia="tr-TR"/>
        </w:rPr>
        <w:t xml:space="preserve"> implementation.</w:t>
      </w:r>
      <w:r>
        <w:rPr>
          <w:rFonts w:ascii="Calibri" w:hAnsi="Calibri"/>
          <w:szCs w:val="22"/>
          <w:lang w:eastAsia="tr-TR"/>
        </w:rPr>
        <w:t xml:space="preserve"> </w:t>
      </w:r>
      <w:r w:rsidR="00B37824">
        <w:rPr>
          <w:rFonts w:ascii="Calibri" w:hAnsi="Calibri"/>
          <w:szCs w:val="22"/>
          <w:lang w:eastAsia="tr-TR"/>
        </w:rPr>
        <w:t>The project focuses to</w:t>
      </w:r>
      <w:r w:rsidRPr="00B37824">
        <w:rPr>
          <w:rFonts w:ascii="Calibri" w:hAnsi="Calibri"/>
          <w:szCs w:val="22"/>
          <w:lang w:eastAsia="tr-TR"/>
        </w:rPr>
        <w:t xml:space="preserve"> create synergies for reaching the </w:t>
      </w:r>
      <w:r w:rsidR="00B37824" w:rsidRPr="00B37824">
        <w:rPr>
          <w:rFonts w:ascii="Calibri" w:hAnsi="Calibri"/>
          <w:szCs w:val="22"/>
          <w:lang w:eastAsia="tr-TR"/>
        </w:rPr>
        <w:t xml:space="preserve">overall and specific objectives </w:t>
      </w:r>
      <w:r w:rsidR="00E4725B">
        <w:rPr>
          <w:rFonts w:ascii="Calibri" w:hAnsi="Calibri"/>
          <w:szCs w:val="22"/>
          <w:lang w:eastAsia="tr-TR"/>
        </w:rPr>
        <w:t xml:space="preserve">and </w:t>
      </w:r>
      <w:r w:rsidR="00B37824" w:rsidRPr="00B37824">
        <w:rPr>
          <w:rFonts w:ascii="Calibri" w:hAnsi="Calibri"/>
          <w:szCs w:val="22"/>
          <w:lang w:eastAsia="tr-TR"/>
        </w:rPr>
        <w:t>promotes</w:t>
      </w:r>
      <w:r w:rsidRPr="00B37824">
        <w:rPr>
          <w:rFonts w:ascii="Calibri" w:hAnsi="Calibri"/>
          <w:szCs w:val="22"/>
          <w:lang w:eastAsia="tr-TR"/>
        </w:rPr>
        <w:t xml:space="preserve"> partners</w:t>
      </w:r>
      <w:r w:rsidR="00B37824" w:rsidRPr="00B37824">
        <w:rPr>
          <w:rFonts w:ascii="Calibri" w:hAnsi="Calibri"/>
          <w:szCs w:val="22"/>
          <w:lang w:eastAsia="tr-TR"/>
        </w:rPr>
        <w:t>hip</w:t>
      </w:r>
      <w:r w:rsidR="00E4725B">
        <w:rPr>
          <w:rFonts w:ascii="Calibri" w:hAnsi="Calibri"/>
          <w:szCs w:val="22"/>
          <w:lang w:eastAsia="tr-TR"/>
        </w:rPr>
        <w:t>s</w:t>
      </w:r>
      <w:r w:rsidR="00B37824" w:rsidRPr="00B37824">
        <w:rPr>
          <w:rFonts w:ascii="Calibri" w:hAnsi="Calibri"/>
          <w:szCs w:val="22"/>
          <w:lang w:eastAsia="tr-TR"/>
        </w:rPr>
        <w:t xml:space="preserve"> between universities, municipalities, government institutions, </w:t>
      </w:r>
      <w:r w:rsidR="00E4725B">
        <w:rPr>
          <w:rFonts w:ascii="Calibri" w:hAnsi="Calibri"/>
          <w:szCs w:val="22"/>
          <w:lang w:eastAsia="tr-TR"/>
        </w:rPr>
        <w:t xml:space="preserve">and </w:t>
      </w:r>
      <w:r w:rsidRPr="00B37824">
        <w:rPr>
          <w:rFonts w:ascii="Calibri" w:hAnsi="Calibri"/>
          <w:szCs w:val="22"/>
          <w:lang w:eastAsia="tr-TR"/>
        </w:rPr>
        <w:t xml:space="preserve">international and national </w:t>
      </w:r>
      <w:proofErr w:type="spellStart"/>
      <w:r w:rsidRPr="00B37824">
        <w:rPr>
          <w:rFonts w:ascii="Calibri" w:hAnsi="Calibri"/>
          <w:szCs w:val="22"/>
          <w:lang w:eastAsia="tr-TR"/>
        </w:rPr>
        <w:t>organisations</w:t>
      </w:r>
      <w:proofErr w:type="spellEnd"/>
      <w:r w:rsidRPr="00B37824">
        <w:rPr>
          <w:rFonts w:ascii="Calibri" w:hAnsi="Calibri"/>
          <w:szCs w:val="22"/>
          <w:lang w:eastAsia="tr-TR"/>
        </w:rPr>
        <w:t xml:space="preserve"> for upskilling students with regard to </w:t>
      </w:r>
      <w:r w:rsidR="00B37824" w:rsidRPr="00B37824">
        <w:rPr>
          <w:rFonts w:ascii="Calibri" w:hAnsi="Calibri"/>
          <w:szCs w:val="22"/>
          <w:lang w:eastAsia="tr-TR"/>
        </w:rPr>
        <w:t>higher education, social cohesion and integration to employment opportunities.</w:t>
      </w:r>
    </w:p>
    <w:p w14:paraId="3888C1AF" w14:textId="77777777" w:rsidR="00B37824" w:rsidRPr="00B37824" w:rsidRDefault="00B37824" w:rsidP="00B37824">
      <w:pPr>
        <w:rPr>
          <w:rFonts w:ascii="Calibri" w:hAnsi="Calibri"/>
          <w:szCs w:val="22"/>
          <w:lang w:eastAsia="tr-TR"/>
        </w:rPr>
      </w:pPr>
    </w:p>
    <w:p w14:paraId="717B39ED" w14:textId="77777777" w:rsidR="00DE5C68" w:rsidRPr="00626195" w:rsidRDefault="00DE5C68" w:rsidP="00DE5C68">
      <w:pPr>
        <w:rPr>
          <w:rFonts w:ascii="Calibri" w:hAnsi="Calibri"/>
          <w:szCs w:val="22"/>
          <w:lang w:eastAsia="tr-TR"/>
        </w:rPr>
      </w:pPr>
      <w:r w:rsidRPr="00626195">
        <w:rPr>
          <w:rFonts w:ascii="Calibri" w:hAnsi="Calibri"/>
          <w:szCs w:val="22"/>
          <w:lang w:eastAsia="tr-TR"/>
        </w:rPr>
        <w:t xml:space="preserve">The consortium consists of four members where the International Centre for Migration Policy Development is the lead applicant and the Ankara University (covering the provinces in Central </w:t>
      </w:r>
      <w:proofErr w:type="gramStart"/>
      <w:r w:rsidR="00E4725B">
        <w:rPr>
          <w:rFonts w:ascii="Calibri" w:hAnsi="Calibri"/>
          <w:szCs w:val="22"/>
          <w:lang w:eastAsia="tr-TR"/>
        </w:rPr>
        <w:t xml:space="preserve">and </w:t>
      </w:r>
      <w:r w:rsidR="00E4725B" w:rsidRPr="00626195">
        <w:rPr>
          <w:rFonts w:ascii="Calibri" w:hAnsi="Calibri"/>
          <w:szCs w:val="22"/>
          <w:lang w:eastAsia="tr-TR"/>
        </w:rPr>
        <w:t xml:space="preserve"> </w:t>
      </w:r>
      <w:r w:rsidR="00E4725B">
        <w:rPr>
          <w:rFonts w:ascii="Calibri" w:hAnsi="Calibri"/>
          <w:szCs w:val="22"/>
          <w:lang w:eastAsia="tr-TR"/>
        </w:rPr>
        <w:t>North</w:t>
      </w:r>
      <w:proofErr w:type="gramEnd"/>
      <w:r w:rsidR="00E4725B">
        <w:rPr>
          <w:rFonts w:ascii="Calibri" w:hAnsi="Calibri"/>
          <w:szCs w:val="22"/>
          <w:lang w:eastAsia="tr-TR"/>
        </w:rPr>
        <w:t xml:space="preserve"> </w:t>
      </w:r>
      <w:r w:rsidRPr="00626195">
        <w:rPr>
          <w:rFonts w:ascii="Calibri" w:hAnsi="Calibri"/>
          <w:szCs w:val="22"/>
          <w:lang w:eastAsia="tr-TR"/>
        </w:rPr>
        <w:t>Anatolia</w:t>
      </w:r>
      <w:r w:rsidR="00E4725B">
        <w:rPr>
          <w:rFonts w:ascii="Calibri" w:hAnsi="Calibri"/>
          <w:szCs w:val="22"/>
          <w:lang w:eastAsia="tr-TR"/>
        </w:rPr>
        <w:t xml:space="preserve"> </w:t>
      </w:r>
      <w:r w:rsidRPr="00626195">
        <w:rPr>
          <w:rFonts w:ascii="Calibri" w:hAnsi="Calibri"/>
          <w:szCs w:val="22"/>
          <w:lang w:eastAsia="tr-TR"/>
        </w:rPr>
        <w:t>Region</w:t>
      </w:r>
      <w:r w:rsidR="00626195" w:rsidRPr="00626195">
        <w:rPr>
          <w:rFonts w:ascii="Calibri" w:hAnsi="Calibri"/>
          <w:szCs w:val="22"/>
          <w:lang w:eastAsia="tr-TR"/>
        </w:rPr>
        <w:t>),</w:t>
      </w:r>
      <w:r w:rsidRPr="00626195">
        <w:rPr>
          <w:rFonts w:ascii="Calibri" w:hAnsi="Calibri"/>
          <w:szCs w:val="22"/>
          <w:lang w:eastAsia="tr-TR"/>
        </w:rPr>
        <w:t xml:space="preserve"> Hasan </w:t>
      </w:r>
      <w:proofErr w:type="spellStart"/>
      <w:r w:rsidRPr="00626195">
        <w:rPr>
          <w:rFonts w:ascii="Calibri" w:hAnsi="Calibri"/>
          <w:szCs w:val="22"/>
          <w:lang w:eastAsia="tr-TR"/>
        </w:rPr>
        <w:t>Kalyoncu</w:t>
      </w:r>
      <w:proofErr w:type="spellEnd"/>
      <w:r w:rsidRPr="00626195">
        <w:rPr>
          <w:rFonts w:ascii="Calibri" w:hAnsi="Calibri"/>
          <w:szCs w:val="22"/>
          <w:lang w:eastAsia="tr-TR"/>
        </w:rPr>
        <w:t xml:space="preserve"> University (covering the provinces in the South East Region</w:t>
      </w:r>
      <w:r w:rsidR="00626195" w:rsidRPr="00626195">
        <w:rPr>
          <w:rFonts w:ascii="Calibri" w:hAnsi="Calibri"/>
          <w:szCs w:val="22"/>
          <w:lang w:eastAsia="tr-TR"/>
        </w:rPr>
        <w:t>), and</w:t>
      </w:r>
      <w:r w:rsidRPr="00626195">
        <w:rPr>
          <w:rFonts w:ascii="Calibri" w:hAnsi="Calibri"/>
          <w:szCs w:val="22"/>
          <w:lang w:eastAsia="tr-TR"/>
        </w:rPr>
        <w:t xml:space="preserve"> Marmara Municipalities Union (covering the provinces in Marmara Region</w:t>
      </w:r>
      <w:r w:rsidR="00626195" w:rsidRPr="00626195">
        <w:rPr>
          <w:rFonts w:ascii="Calibri" w:hAnsi="Calibri"/>
          <w:szCs w:val="22"/>
          <w:lang w:eastAsia="tr-TR"/>
        </w:rPr>
        <w:t>), are</w:t>
      </w:r>
      <w:r w:rsidRPr="00626195">
        <w:rPr>
          <w:rFonts w:ascii="Calibri" w:hAnsi="Calibri"/>
          <w:szCs w:val="22"/>
          <w:lang w:eastAsia="tr-TR"/>
        </w:rPr>
        <w:t xml:space="preserve"> the co-applicant consortium members.</w:t>
      </w:r>
    </w:p>
    <w:p w14:paraId="1F6A33C2" w14:textId="77777777" w:rsidR="00B37824" w:rsidRDefault="00B37824" w:rsidP="00DE5C68">
      <w:pPr>
        <w:rPr>
          <w:rFonts w:ascii="Calibri" w:hAnsi="Calibri" w:cs="Arial"/>
          <w:color w:val="auto"/>
          <w:szCs w:val="22"/>
          <w:lang w:eastAsia="tr-TR"/>
        </w:rPr>
      </w:pPr>
    </w:p>
    <w:p w14:paraId="48505A4A" w14:textId="77777777" w:rsidR="00E340F2" w:rsidRPr="00570B7D" w:rsidRDefault="008C25B6" w:rsidP="00DE5C68">
      <w:pPr>
        <w:rPr>
          <w:rFonts w:ascii="Calibri" w:hAnsi="Calibri"/>
          <w:szCs w:val="22"/>
          <w:lang w:eastAsia="tr-TR"/>
        </w:rPr>
      </w:pPr>
      <w:r w:rsidRPr="00570B7D">
        <w:rPr>
          <w:rFonts w:ascii="Calibri" w:hAnsi="Calibri"/>
          <w:szCs w:val="22"/>
          <w:lang w:eastAsia="tr-TR"/>
        </w:rPr>
        <w:t xml:space="preserve">The project has </w:t>
      </w:r>
      <w:r w:rsidR="00E4725B" w:rsidRPr="00570B7D">
        <w:rPr>
          <w:rFonts w:ascii="Calibri" w:hAnsi="Calibri"/>
          <w:szCs w:val="22"/>
          <w:lang w:eastAsia="tr-TR"/>
        </w:rPr>
        <w:t xml:space="preserve">a </w:t>
      </w:r>
      <w:r w:rsidR="00626195" w:rsidRPr="00570B7D">
        <w:rPr>
          <w:rFonts w:ascii="Calibri" w:hAnsi="Calibri"/>
          <w:szCs w:val="22"/>
          <w:lang w:eastAsia="tr-TR"/>
        </w:rPr>
        <w:t>three-year</w:t>
      </w:r>
      <w:r w:rsidRPr="00570B7D">
        <w:rPr>
          <w:rFonts w:ascii="Calibri" w:hAnsi="Calibri"/>
          <w:szCs w:val="22"/>
          <w:lang w:eastAsia="tr-TR"/>
        </w:rPr>
        <w:t xml:space="preserve"> implementation period between 1 January 2023- 31 January 2026 and </w:t>
      </w:r>
      <w:r w:rsidR="00E4725B" w:rsidRPr="00570B7D">
        <w:rPr>
          <w:rFonts w:ascii="Calibri" w:hAnsi="Calibri"/>
          <w:szCs w:val="22"/>
          <w:lang w:eastAsia="tr-TR"/>
        </w:rPr>
        <w:t xml:space="preserve">is </w:t>
      </w:r>
      <w:r w:rsidRPr="00570B7D">
        <w:rPr>
          <w:rFonts w:ascii="Calibri" w:hAnsi="Calibri"/>
          <w:szCs w:val="22"/>
          <w:lang w:eastAsia="tr-TR"/>
        </w:rPr>
        <w:t>funded by European Union.</w:t>
      </w:r>
    </w:p>
    <w:p w14:paraId="4DA4A74B" w14:textId="77777777" w:rsidR="00BA7694" w:rsidRDefault="00BA7694" w:rsidP="00BA7694">
      <w:pPr>
        <w:pStyle w:val="HighlightningHeadline"/>
        <w:ind w:left="0"/>
      </w:pPr>
    </w:p>
    <w:p w14:paraId="40B2BCFE" w14:textId="77777777" w:rsidR="005E4118" w:rsidRDefault="005E4118" w:rsidP="00BA7694">
      <w:pPr>
        <w:pStyle w:val="HighlightningHeadline"/>
        <w:ind w:left="0"/>
      </w:pPr>
      <w:r w:rsidRPr="005E4118">
        <w:t>Current Context</w:t>
      </w:r>
    </w:p>
    <w:p w14:paraId="24092076" w14:textId="7230FF11" w:rsidR="00375330" w:rsidRPr="006E515E" w:rsidRDefault="00375330" w:rsidP="00E340F2">
      <w:pPr>
        <w:pStyle w:val="HighlightningwithBackground"/>
        <w:spacing w:before="0" w:after="0"/>
        <w:rPr>
          <w:rFonts w:cs="Arial"/>
          <w:color w:val="auto"/>
          <w:szCs w:val="22"/>
          <w:lang w:eastAsia="tr-TR"/>
        </w:rPr>
      </w:pPr>
      <w:r w:rsidRPr="00375330">
        <w:rPr>
          <w:rFonts w:cs="Arial"/>
          <w:color w:val="auto"/>
          <w:szCs w:val="22"/>
          <w:lang w:eastAsia="tr-TR"/>
        </w:rPr>
        <w:t xml:space="preserve">Türkiye, as the largest refugee-hosting country in the world </w:t>
      </w:r>
      <w:r w:rsidR="00E340F2">
        <w:rPr>
          <w:rFonts w:cs="Arial"/>
          <w:color w:val="auto"/>
          <w:szCs w:val="22"/>
          <w:lang w:eastAsia="tr-TR"/>
        </w:rPr>
        <w:t>since 2014.</w:t>
      </w:r>
      <w:r w:rsidRPr="00375330">
        <w:rPr>
          <w:rFonts w:cs="Arial"/>
          <w:color w:val="auto"/>
          <w:szCs w:val="22"/>
          <w:lang w:eastAsia="tr-TR"/>
        </w:rPr>
        <w:t xml:space="preserve"> </w:t>
      </w:r>
      <w:r w:rsidR="00E340F2">
        <w:rPr>
          <w:rFonts w:cs="Arial"/>
          <w:color w:val="auto"/>
          <w:szCs w:val="22"/>
          <w:lang w:eastAsia="tr-TR"/>
        </w:rPr>
        <w:t>T</w:t>
      </w:r>
      <w:r w:rsidRPr="00375330">
        <w:rPr>
          <w:rFonts w:cs="Arial"/>
          <w:color w:val="auto"/>
          <w:szCs w:val="22"/>
          <w:lang w:eastAsia="tr-TR"/>
        </w:rPr>
        <w:t xml:space="preserve">here are 3.7 million Syrians under temporary protection </w:t>
      </w:r>
      <w:r w:rsidR="00E340F2">
        <w:rPr>
          <w:rFonts w:cs="Arial"/>
          <w:color w:val="auto"/>
          <w:szCs w:val="22"/>
          <w:lang w:eastAsia="tr-TR"/>
        </w:rPr>
        <w:t xml:space="preserve">in </w:t>
      </w:r>
      <w:r w:rsidRPr="00375330">
        <w:rPr>
          <w:rFonts w:cs="Arial"/>
          <w:color w:val="auto"/>
          <w:szCs w:val="22"/>
          <w:lang w:eastAsia="tr-TR"/>
        </w:rPr>
        <w:t>addition</w:t>
      </w:r>
      <w:r w:rsidR="00E340F2">
        <w:rPr>
          <w:rFonts w:cs="Arial"/>
          <w:color w:val="auto"/>
          <w:szCs w:val="22"/>
          <w:lang w:eastAsia="tr-TR"/>
        </w:rPr>
        <w:t xml:space="preserve"> to approximately</w:t>
      </w:r>
      <w:r w:rsidRPr="00375330">
        <w:rPr>
          <w:rFonts w:cs="Arial"/>
          <w:color w:val="auto"/>
          <w:szCs w:val="22"/>
          <w:lang w:eastAsia="tr-TR"/>
        </w:rPr>
        <w:t xml:space="preserve"> 330,000 persons under international protection. As of</w:t>
      </w:r>
      <w:r w:rsidR="003F08F2">
        <w:rPr>
          <w:rFonts w:cs="Arial"/>
          <w:color w:val="auto"/>
          <w:szCs w:val="22"/>
          <w:lang w:eastAsia="tr-TR"/>
        </w:rPr>
        <w:t xml:space="preserve"> 2023, 58.213</w:t>
      </w:r>
      <w:r w:rsidRPr="00375330">
        <w:rPr>
          <w:rFonts w:cs="Arial"/>
          <w:color w:val="auto"/>
          <w:szCs w:val="22"/>
          <w:lang w:eastAsia="tr-TR"/>
        </w:rPr>
        <w:t xml:space="preserve"> Syrian students are enrolled in higher education in Türkiye. </w:t>
      </w:r>
      <w:r w:rsidRPr="006E515E">
        <w:rPr>
          <w:rFonts w:cs="Arial"/>
          <w:color w:val="auto"/>
          <w:szCs w:val="22"/>
          <w:lang w:eastAsia="tr-TR"/>
        </w:rPr>
        <w:t xml:space="preserve">The current higher education enrolment rates are significantly lower compared to the overall university-attendance rate. Through legislative and procedural amendments, the host government has tried to eliminate the barriers that persons under temporary protection and international protection in Türkiye face in accessing higher education Scholarship initiatives funded through FRIT (‘Higher education for </w:t>
      </w:r>
      <w:r w:rsidRPr="006E515E">
        <w:rPr>
          <w:rFonts w:cs="Arial"/>
          <w:color w:val="auto"/>
          <w:szCs w:val="22"/>
          <w:lang w:eastAsia="tr-TR"/>
        </w:rPr>
        <w:lastRenderedPageBreak/>
        <w:t xml:space="preserve">Syrians under temporary protection and disadvantaged host communities in Türkiye’ Project and the HOPES Project) and UN and other funds (DAFI Türkiye Scholarship </w:t>
      </w:r>
      <w:proofErr w:type="spellStart"/>
      <w:r w:rsidRPr="006E515E">
        <w:rPr>
          <w:rFonts w:cs="Arial"/>
          <w:color w:val="auto"/>
          <w:szCs w:val="22"/>
          <w:lang w:eastAsia="tr-TR"/>
        </w:rPr>
        <w:t>Programme</w:t>
      </w:r>
      <w:proofErr w:type="spellEnd"/>
      <w:r w:rsidRPr="006E515E">
        <w:rPr>
          <w:rFonts w:cs="Arial"/>
          <w:color w:val="auto"/>
          <w:szCs w:val="22"/>
          <w:lang w:eastAsia="tr-TR"/>
        </w:rPr>
        <w:t xml:space="preserve"> and UNHCR Scholarships in Türkiye) also addressed certain financial and various other barriers in relation to acces</w:t>
      </w:r>
      <w:r w:rsidR="00E340F2" w:rsidRPr="006E515E">
        <w:rPr>
          <w:rFonts w:cs="Arial"/>
          <w:color w:val="auto"/>
          <w:szCs w:val="22"/>
          <w:lang w:eastAsia="tr-TR"/>
        </w:rPr>
        <w:t xml:space="preserve">s to higher </w:t>
      </w:r>
      <w:r w:rsidRPr="006E515E">
        <w:rPr>
          <w:rFonts w:cs="Arial"/>
          <w:color w:val="auto"/>
          <w:szCs w:val="22"/>
          <w:lang w:eastAsia="tr-TR"/>
        </w:rPr>
        <w:t xml:space="preserve">education by the target groups. </w:t>
      </w:r>
    </w:p>
    <w:p w14:paraId="0D2F0D96" w14:textId="77777777" w:rsidR="00FF708A" w:rsidRPr="006E515E" w:rsidRDefault="00375330" w:rsidP="00610AE1">
      <w:pPr>
        <w:pStyle w:val="HighlightningwithBackground"/>
        <w:spacing w:before="0" w:after="0"/>
        <w:rPr>
          <w:rFonts w:cs="Arial"/>
          <w:color w:val="auto"/>
          <w:szCs w:val="22"/>
          <w:lang w:eastAsia="tr-TR"/>
        </w:rPr>
      </w:pPr>
      <w:r w:rsidRPr="006E515E">
        <w:rPr>
          <w:rFonts w:cs="Arial"/>
          <w:color w:val="auto"/>
          <w:szCs w:val="22"/>
          <w:lang w:eastAsia="tr-TR"/>
        </w:rPr>
        <w:t xml:space="preserve">While these initiatives reportedly delivered solid improvements in terms of higher enrolment numbers, lower dropout rates and consistency in student GPAs, many of the barriers still remain to be a challenge for the target groups in accessing and completing higher education. Among these barriers, financial constraints (costs regarding living, textbooks and other materials, transportation), language barriers (specifically regarding the Turkish language), </w:t>
      </w:r>
      <w:proofErr w:type="spellStart"/>
      <w:r w:rsidRPr="006E515E">
        <w:rPr>
          <w:rFonts w:cs="Arial"/>
          <w:color w:val="auto"/>
          <w:szCs w:val="22"/>
          <w:lang w:eastAsia="tr-TR"/>
        </w:rPr>
        <w:t>marginalisation</w:t>
      </w:r>
      <w:proofErr w:type="spellEnd"/>
      <w:r w:rsidRPr="006E515E">
        <w:rPr>
          <w:rFonts w:cs="Arial"/>
          <w:color w:val="auto"/>
          <w:szCs w:val="22"/>
          <w:lang w:eastAsia="tr-TR"/>
        </w:rPr>
        <w:t xml:space="preserve">, relative lack of opportunities for decent work after graduation and psychosocial support needs constitute the main challenges. In this connection, it should be noted that the FRIT Sector Report on Education (2021) also identifies the quotas for Turkish students in scholarship </w:t>
      </w:r>
      <w:proofErr w:type="spellStart"/>
      <w:r w:rsidRPr="006E515E">
        <w:rPr>
          <w:rFonts w:cs="Arial"/>
          <w:color w:val="auto"/>
          <w:szCs w:val="22"/>
          <w:lang w:eastAsia="tr-TR"/>
        </w:rPr>
        <w:t>programmes</w:t>
      </w:r>
      <w:proofErr w:type="spellEnd"/>
      <w:r w:rsidRPr="006E515E">
        <w:rPr>
          <w:rFonts w:cs="Arial"/>
          <w:color w:val="auto"/>
          <w:szCs w:val="22"/>
          <w:lang w:eastAsia="tr-TR"/>
        </w:rPr>
        <w:t xml:space="preserve"> as one of the barriers.</w:t>
      </w:r>
    </w:p>
    <w:p w14:paraId="6128E83D" w14:textId="77777777" w:rsidR="00960301" w:rsidRDefault="00960301" w:rsidP="0092670C">
      <w:pPr>
        <w:pStyle w:val="HighlightningHeadline"/>
        <w:ind w:left="0"/>
      </w:pPr>
    </w:p>
    <w:p w14:paraId="79626790" w14:textId="77777777" w:rsidR="0092670C" w:rsidRPr="0092670C" w:rsidRDefault="00851B46" w:rsidP="0092670C">
      <w:pPr>
        <w:pStyle w:val="HighlightningHeadline"/>
        <w:ind w:left="0"/>
      </w:pPr>
      <w:r>
        <w:t>Objectives</w:t>
      </w:r>
    </w:p>
    <w:p w14:paraId="4F2C05BC" w14:textId="7B2471CB" w:rsidR="0088516D" w:rsidRPr="00375330" w:rsidRDefault="0088516D" w:rsidP="006E515E">
      <w:pPr>
        <w:pStyle w:val="BodyText"/>
        <w:spacing w:before="114" w:line="242" w:lineRule="auto"/>
        <w:ind w:right="116"/>
        <w:jc w:val="both"/>
        <w:rPr>
          <w:rFonts w:ascii="Calibri" w:eastAsiaTheme="minorHAnsi" w:hAnsi="Calibri"/>
          <w:sz w:val="24"/>
          <w:szCs w:val="22"/>
          <w:lang w:eastAsia="tr-TR"/>
        </w:rPr>
      </w:pPr>
      <w:r w:rsidRPr="00375330">
        <w:rPr>
          <w:rFonts w:ascii="Calibri" w:eastAsiaTheme="minorHAnsi" w:hAnsi="Calibri"/>
          <w:b/>
          <w:i/>
          <w:sz w:val="24"/>
          <w:szCs w:val="22"/>
          <w:lang w:eastAsia="tr-TR"/>
        </w:rPr>
        <w:t>The overall objective</w:t>
      </w:r>
      <w:r w:rsidR="00375330">
        <w:rPr>
          <w:rFonts w:ascii="Calibri" w:eastAsiaTheme="minorHAnsi" w:hAnsi="Calibri"/>
          <w:b/>
          <w:i/>
          <w:sz w:val="24"/>
          <w:szCs w:val="22"/>
          <w:lang w:eastAsia="tr-TR"/>
        </w:rPr>
        <w:t xml:space="preserve"> </w:t>
      </w:r>
      <w:r w:rsidR="00375330">
        <w:rPr>
          <w:rFonts w:ascii="Calibri" w:eastAsiaTheme="minorHAnsi" w:hAnsi="Calibri"/>
          <w:sz w:val="24"/>
          <w:szCs w:val="22"/>
          <w:lang w:eastAsia="tr-TR"/>
        </w:rPr>
        <w:t>is</w:t>
      </w:r>
      <w:r w:rsidRPr="00375330">
        <w:rPr>
          <w:rFonts w:ascii="Calibri" w:eastAsiaTheme="minorHAnsi" w:hAnsi="Calibri"/>
          <w:sz w:val="24"/>
          <w:szCs w:val="22"/>
          <w:lang w:eastAsia="tr-TR"/>
        </w:rPr>
        <w:t xml:space="preserve"> </w:t>
      </w:r>
      <w:r w:rsidR="00375330">
        <w:rPr>
          <w:rFonts w:ascii="Calibri" w:eastAsiaTheme="minorHAnsi" w:hAnsi="Calibri"/>
          <w:sz w:val="24"/>
          <w:szCs w:val="22"/>
          <w:lang w:eastAsia="tr-TR"/>
        </w:rPr>
        <w:t>t</w:t>
      </w:r>
      <w:r w:rsidR="004C0892" w:rsidRPr="00375330">
        <w:rPr>
          <w:rFonts w:ascii="Calibri" w:eastAsiaTheme="minorHAnsi" w:hAnsi="Calibri"/>
          <w:sz w:val="24"/>
          <w:szCs w:val="22"/>
          <w:lang w:eastAsia="tr-TR"/>
        </w:rPr>
        <w:t xml:space="preserve">o improve access to higher education and </w:t>
      </w:r>
      <w:r w:rsidR="00570B7D" w:rsidRPr="00570B7D">
        <w:rPr>
          <w:rFonts w:ascii="Calibri" w:eastAsiaTheme="minorHAnsi" w:hAnsi="Calibri"/>
          <w:sz w:val="24"/>
          <w:szCs w:val="22"/>
          <w:lang w:eastAsia="tr-TR"/>
        </w:rPr>
        <w:t>strengthen pathways to employment through skill development and social cohesion</w:t>
      </w:r>
      <w:r w:rsidR="00570B7D" w:rsidRPr="00570B7D" w:rsidDel="00570B7D">
        <w:rPr>
          <w:rFonts w:ascii="Calibri" w:eastAsiaTheme="minorHAnsi" w:hAnsi="Calibri"/>
          <w:sz w:val="24"/>
          <w:szCs w:val="22"/>
          <w:lang w:eastAsia="tr-TR"/>
        </w:rPr>
        <w:t xml:space="preserve"> </w:t>
      </w:r>
      <w:r w:rsidR="00E4725B">
        <w:rPr>
          <w:rFonts w:ascii="Calibri" w:eastAsiaTheme="minorHAnsi" w:hAnsi="Calibri"/>
          <w:sz w:val="24"/>
          <w:szCs w:val="22"/>
          <w:lang w:eastAsia="tr-TR"/>
        </w:rPr>
        <w:t>for</w:t>
      </w:r>
      <w:r w:rsidR="00E4725B" w:rsidRPr="00375330">
        <w:rPr>
          <w:rFonts w:ascii="Calibri" w:eastAsiaTheme="minorHAnsi" w:hAnsi="Calibri"/>
          <w:sz w:val="24"/>
          <w:szCs w:val="22"/>
          <w:lang w:eastAsia="tr-TR"/>
        </w:rPr>
        <w:t xml:space="preserve"> </w:t>
      </w:r>
      <w:r w:rsidR="004C0892" w:rsidRPr="00375330">
        <w:rPr>
          <w:rFonts w:ascii="Calibri" w:eastAsiaTheme="minorHAnsi" w:hAnsi="Calibri"/>
          <w:sz w:val="24"/>
          <w:szCs w:val="22"/>
          <w:lang w:eastAsia="tr-TR"/>
        </w:rPr>
        <w:t xml:space="preserve">Syrian students under temporary protection, students under international protection and </w:t>
      </w:r>
      <w:r w:rsidR="00D02711" w:rsidRPr="00D02711">
        <w:rPr>
          <w:rFonts w:ascii="Calibri" w:eastAsiaTheme="minorHAnsi" w:hAnsi="Calibri"/>
          <w:sz w:val="24"/>
          <w:szCs w:val="22"/>
          <w:lang w:eastAsia="tr-TR"/>
        </w:rPr>
        <w:t>students with Turkish citizenship</w:t>
      </w:r>
      <w:r w:rsidR="00D02711">
        <w:rPr>
          <w:rFonts w:ascii="Calibri" w:eastAsiaTheme="minorHAnsi" w:hAnsi="Calibri"/>
          <w:sz w:val="24"/>
          <w:szCs w:val="22"/>
          <w:lang w:eastAsia="tr-TR"/>
        </w:rPr>
        <w:t>.</w:t>
      </w:r>
    </w:p>
    <w:p w14:paraId="66E4D20A" w14:textId="04BF09D6" w:rsidR="0088516D" w:rsidRPr="00375330" w:rsidRDefault="0088516D" w:rsidP="006E515E">
      <w:pPr>
        <w:pStyle w:val="BodyText"/>
        <w:spacing w:before="114"/>
        <w:ind w:right="116"/>
        <w:jc w:val="both"/>
        <w:rPr>
          <w:rFonts w:ascii="Calibri" w:eastAsiaTheme="minorHAnsi" w:hAnsi="Calibri"/>
          <w:sz w:val="24"/>
          <w:szCs w:val="22"/>
          <w:lang w:eastAsia="tr-TR"/>
        </w:rPr>
      </w:pPr>
      <w:r w:rsidRPr="00375330">
        <w:rPr>
          <w:rFonts w:ascii="Calibri" w:eastAsiaTheme="minorHAnsi" w:hAnsi="Calibri"/>
          <w:b/>
          <w:i/>
          <w:sz w:val="24"/>
          <w:szCs w:val="22"/>
          <w:lang w:eastAsia="tr-TR"/>
        </w:rPr>
        <w:t>The specific objective</w:t>
      </w:r>
      <w:r w:rsidRPr="00375330">
        <w:rPr>
          <w:rFonts w:ascii="Calibri" w:eastAsiaTheme="minorHAnsi" w:hAnsi="Calibri"/>
          <w:sz w:val="24"/>
          <w:szCs w:val="22"/>
          <w:lang w:eastAsia="tr-TR"/>
        </w:rPr>
        <w:t xml:space="preserve"> is to increase enrolment to and graduation from higher education by Syrian students under temporary protection, students under international protection and </w:t>
      </w:r>
      <w:r w:rsidR="006E1BCF" w:rsidRPr="006E1BCF">
        <w:rPr>
          <w:rFonts w:ascii="Calibri" w:eastAsiaTheme="minorHAnsi" w:hAnsi="Calibri"/>
          <w:sz w:val="24"/>
          <w:szCs w:val="22"/>
          <w:lang w:eastAsia="tr-TR"/>
        </w:rPr>
        <w:t>students with Turkish citizenship</w:t>
      </w:r>
      <w:r w:rsidR="00751FCD">
        <w:rPr>
          <w:rFonts w:ascii="Calibri" w:eastAsiaTheme="minorHAnsi" w:hAnsi="Calibri"/>
          <w:sz w:val="24"/>
          <w:szCs w:val="22"/>
          <w:lang w:eastAsia="tr-TR"/>
        </w:rPr>
        <w:t>.</w:t>
      </w:r>
    </w:p>
    <w:p w14:paraId="735AB42E" w14:textId="77777777" w:rsidR="0088516D" w:rsidRPr="00375330" w:rsidRDefault="0088516D" w:rsidP="006E515E">
      <w:pPr>
        <w:spacing w:before="121"/>
        <w:rPr>
          <w:rFonts w:ascii="Calibri" w:hAnsi="Calibri" w:cs="Arial"/>
          <w:color w:val="auto"/>
          <w:szCs w:val="22"/>
          <w:lang w:eastAsia="tr-TR"/>
        </w:rPr>
      </w:pPr>
      <w:r w:rsidRPr="00375330">
        <w:rPr>
          <w:rFonts w:ascii="Calibri" w:hAnsi="Calibri" w:cs="Arial"/>
          <w:color w:val="auto"/>
          <w:szCs w:val="22"/>
          <w:lang w:eastAsia="tr-TR"/>
        </w:rPr>
        <w:t xml:space="preserve">The proposed action rests mainly on </w:t>
      </w:r>
      <w:r w:rsidRPr="00375330">
        <w:rPr>
          <w:rFonts w:ascii="Calibri" w:hAnsi="Calibri" w:cs="Arial"/>
          <w:b/>
          <w:i/>
          <w:color w:val="auto"/>
          <w:szCs w:val="22"/>
          <w:lang w:eastAsia="tr-TR"/>
        </w:rPr>
        <w:t>three components</w:t>
      </w:r>
      <w:r w:rsidRPr="00375330">
        <w:rPr>
          <w:rFonts w:ascii="Calibri" w:hAnsi="Calibri" w:cs="Arial"/>
          <w:color w:val="auto"/>
          <w:szCs w:val="22"/>
          <w:lang w:eastAsia="tr-TR"/>
        </w:rPr>
        <w:t xml:space="preserve"> of activities consisting of:</w:t>
      </w:r>
    </w:p>
    <w:p w14:paraId="79BF2DC9" w14:textId="77777777" w:rsidR="0088516D" w:rsidRPr="00375330" w:rsidRDefault="0088516D" w:rsidP="0088516D">
      <w:pPr>
        <w:pStyle w:val="ListParagraph"/>
        <w:widowControl w:val="0"/>
        <w:numPr>
          <w:ilvl w:val="0"/>
          <w:numId w:val="23"/>
        </w:numPr>
        <w:tabs>
          <w:tab w:val="left" w:pos="947"/>
        </w:tabs>
        <w:autoSpaceDE w:val="0"/>
        <w:autoSpaceDN w:val="0"/>
        <w:spacing w:before="120" w:line="240" w:lineRule="auto"/>
        <w:ind w:hanging="361"/>
        <w:contextualSpacing w:val="0"/>
        <w:rPr>
          <w:rFonts w:ascii="Calibri" w:hAnsi="Calibri" w:cs="Arial"/>
          <w:color w:val="auto"/>
          <w:szCs w:val="22"/>
          <w:lang w:eastAsia="tr-TR"/>
        </w:rPr>
      </w:pPr>
      <w:r w:rsidRPr="00375330">
        <w:rPr>
          <w:rFonts w:ascii="Calibri" w:hAnsi="Calibri" w:cs="Arial"/>
          <w:color w:val="auto"/>
          <w:szCs w:val="22"/>
          <w:lang w:eastAsia="tr-TR"/>
        </w:rPr>
        <w:t>Establishment of the scholarship and support mechanisms,</w:t>
      </w:r>
    </w:p>
    <w:p w14:paraId="364C7992" w14:textId="77777777" w:rsidR="0088516D" w:rsidRPr="00375330" w:rsidRDefault="0088516D" w:rsidP="0088516D">
      <w:pPr>
        <w:pStyle w:val="ListParagraph"/>
        <w:widowControl w:val="0"/>
        <w:numPr>
          <w:ilvl w:val="0"/>
          <w:numId w:val="23"/>
        </w:numPr>
        <w:tabs>
          <w:tab w:val="left" w:pos="947"/>
        </w:tabs>
        <w:autoSpaceDE w:val="0"/>
        <w:autoSpaceDN w:val="0"/>
        <w:spacing w:line="240" w:lineRule="auto"/>
        <w:ind w:hanging="361"/>
        <w:contextualSpacing w:val="0"/>
        <w:rPr>
          <w:rFonts w:ascii="Calibri" w:hAnsi="Calibri" w:cs="Arial"/>
          <w:color w:val="auto"/>
          <w:szCs w:val="22"/>
          <w:lang w:eastAsia="tr-TR"/>
        </w:rPr>
      </w:pPr>
      <w:r w:rsidRPr="00375330">
        <w:rPr>
          <w:rFonts w:ascii="Calibri" w:hAnsi="Calibri" w:cs="Arial"/>
          <w:color w:val="auto"/>
          <w:szCs w:val="22"/>
          <w:lang w:eastAsia="tr-TR"/>
        </w:rPr>
        <w:t>Granting of scholarships, monitoring of student performance, and support activities,</w:t>
      </w:r>
    </w:p>
    <w:p w14:paraId="2EE0B221" w14:textId="77777777" w:rsidR="0088516D" w:rsidRPr="00375330" w:rsidRDefault="0088516D" w:rsidP="0088516D">
      <w:pPr>
        <w:pStyle w:val="ListParagraph"/>
        <w:widowControl w:val="0"/>
        <w:numPr>
          <w:ilvl w:val="0"/>
          <w:numId w:val="23"/>
        </w:numPr>
        <w:tabs>
          <w:tab w:val="left" w:pos="947"/>
        </w:tabs>
        <w:autoSpaceDE w:val="0"/>
        <w:autoSpaceDN w:val="0"/>
        <w:spacing w:before="1" w:line="240" w:lineRule="auto"/>
        <w:ind w:hanging="361"/>
        <w:contextualSpacing w:val="0"/>
        <w:rPr>
          <w:rFonts w:ascii="Calibri" w:hAnsi="Calibri" w:cs="Arial"/>
          <w:color w:val="auto"/>
          <w:szCs w:val="22"/>
          <w:lang w:eastAsia="tr-TR"/>
        </w:rPr>
      </w:pPr>
      <w:r w:rsidRPr="00375330">
        <w:rPr>
          <w:rFonts w:ascii="Calibri" w:hAnsi="Calibri" w:cs="Arial"/>
          <w:color w:val="auto"/>
          <w:szCs w:val="22"/>
          <w:lang w:eastAsia="tr-TR"/>
        </w:rPr>
        <w:t xml:space="preserve">Social cohesion and employment-oriented </w:t>
      </w:r>
      <w:r w:rsidR="00751FCD">
        <w:rPr>
          <w:rFonts w:ascii="Calibri" w:hAnsi="Calibri" w:cs="Arial"/>
          <w:color w:val="auto"/>
          <w:szCs w:val="22"/>
          <w:lang w:eastAsia="tr-TR"/>
        </w:rPr>
        <w:t>activities.</w:t>
      </w:r>
    </w:p>
    <w:p w14:paraId="7D1E5887" w14:textId="77777777" w:rsidR="004C0892" w:rsidRDefault="004C0892" w:rsidP="004C0892">
      <w:pPr>
        <w:widowControl w:val="0"/>
        <w:tabs>
          <w:tab w:val="left" w:pos="947"/>
        </w:tabs>
        <w:autoSpaceDE w:val="0"/>
        <w:autoSpaceDN w:val="0"/>
        <w:spacing w:before="1" w:line="240" w:lineRule="auto"/>
        <w:rPr>
          <w:sz w:val="20"/>
        </w:rPr>
      </w:pPr>
    </w:p>
    <w:p w14:paraId="10372A42" w14:textId="77777777" w:rsidR="00CD289B" w:rsidRPr="00CD69CC" w:rsidRDefault="00851B46" w:rsidP="001F255E">
      <w:pPr>
        <w:pStyle w:val="HighlightningHeadline"/>
        <w:ind w:left="0"/>
      </w:pPr>
      <w:r w:rsidRPr="00CD69CC">
        <w:t>Benefic</w:t>
      </w:r>
      <w:r w:rsidR="00023057" w:rsidRPr="00CD69CC">
        <w:t>i</w:t>
      </w:r>
      <w:r w:rsidRPr="00CD69CC">
        <w:t>aries</w:t>
      </w:r>
    </w:p>
    <w:p w14:paraId="2F5CD927" w14:textId="3875AD6D" w:rsidR="0088516D" w:rsidRDefault="0088516D" w:rsidP="006E515E">
      <w:pPr>
        <w:pStyle w:val="BodyText"/>
        <w:spacing w:before="123"/>
        <w:ind w:right="111"/>
        <w:jc w:val="both"/>
      </w:pPr>
      <w:r w:rsidRPr="00751FCD">
        <w:rPr>
          <w:rFonts w:ascii="Calibri" w:eastAsiaTheme="minorHAnsi" w:hAnsi="Calibri"/>
          <w:sz w:val="24"/>
          <w:szCs w:val="22"/>
          <w:lang w:eastAsia="tr-TR"/>
        </w:rPr>
        <w:t>The target groups are Syrian</w:t>
      </w:r>
      <w:r w:rsidR="00626195">
        <w:rPr>
          <w:rFonts w:ascii="Calibri" w:eastAsiaTheme="minorHAnsi" w:hAnsi="Calibri"/>
          <w:sz w:val="24"/>
          <w:szCs w:val="22"/>
          <w:lang w:eastAsia="tr-TR"/>
        </w:rPr>
        <w:t xml:space="preserve"> </w:t>
      </w:r>
      <w:r w:rsidRPr="00751FCD">
        <w:rPr>
          <w:rFonts w:ascii="Calibri" w:eastAsiaTheme="minorHAnsi" w:hAnsi="Calibri"/>
          <w:sz w:val="24"/>
          <w:szCs w:val="22"/>
          <w:lang w:eastAsia="tr-TR"/>
        </w:rPr>
        <w:t xml:space="preserve">students under temporary protection, students under international protection and </w:t>
      </w:r>
      <w:r w:rsidR="009E2F8D" w:rsidRPr="009E2F8D">
        <w:rPr>
          <w:rFonts w:ascii="Calibri" w:eastAsiaTheme="minorHAnsi" w:hAnsi="Calibri"/>
          <w:sz w:val="24"/>
          <w:szCs w:val="22"/>
          <w:lang w:eastAsia="tr-TR"/>
        </w:rPr>
        <w:t xml:space="preserve">students with Turkish citizenship </w:t>
      </w:r>
      <w:r w:rsidRPr="00751FCD">
        <w:rPr>
          <w:rFonts w:ascii="Calibri" w:eastAsiaTheme="minorHAnsi" w:hAnsi="Calibri"/>
          <w:sz w:val="24"/>
          <w:szCs w:val="22"/>
          <w:lang w:eastAsia="tr-TR"/>
        </w:rPr>
        <w:t xml:space="preserve">who pursue undergraduate/graduate studies. </w:t>
      </w:r>
    </w:p>
    <w:p w14:paraId="18038955" w14:textId="77777777" w:rsidR="0088516D" w:rsidRDefault="0088516D" w:rsidP="0088516D">
      <w:pPr>
        <w:pStyle w:val="BodyText"/>
        <w:spacing w:before="123"/>
        <w:ind w:left="238" w:right="111"/>
        <w:jc w:val="both"/>
      </w:pPr>
    </w:p>
    <w:p w14:paraId="5AB84563" w14:textId="77777777" w:rsidR="00851B46" w:rsidRPr="00CD69CC" w:rsidRDefault="00023057" w:rsidP="001F255E">
      <w:pPr>
        <w:pStyle w:val="HighlightningHeadline"/>
        <w:ind w:left="0"/>
      </w:pPr>
      <w:r w:rsidRPr="00CD69CC">
        <w:t>P</w:t>
      </w:r>
      <w:r w:rsidR="00851B46" w:rsidRPr="00CD69CC">
        <w:t>roject Duration</w:t>
      </w:r>
    </w:p>
    <w:p w14:paraId="6A4ADA0D" w14:textId="77777777" w:rsidR="00E8053D" w:rsidRPr="00DE5C68" w:rsidRDefault="00DE5C68" w:rsidP="0088516D">
      <w:pPr>
        <w:pStyle w:val="ICMPDBodyCopy"/>
        <w:spacing w:after="120" w:line="276" w:lineRule="auto"/>
        <w:rPr>
          <w:rFonts w:ascii="Calibri" w:eastAsiaTheme="minorHAnsi" w:hAnsi="Calibri" w:cs="Arial"/>
          <w:sz w:val="24"/>
          <w:szCs w:val="22"/>
          <w:lang w:eastAsia="tr-TR"/>
        </w:rPr>
      </w:pPr>
      <w:r w:rsidRPr="00DE5C68">
        <w:rPr>
          <w:rFonts w:ascii="Calibri" w:eastAsiaTheme="minorHAnsi" w:hAnsi="Calibri" w:cs="Arial"/>
          <w:sz w:val="24"/>
          <w:szCs w:val="22"/>
          <w:lang w:eastAsia="tr-TR"/>
        </w:rPr>
        <w:t xml:space="preserve">1 January 2023- 31 January 2026 </w:t>
      </w:r>
    </w:p>
    <w:sectPr w:rsidR="00E8053D" w:rsidRPr="00DE5C68" w:rsidSect="00C565B9">
      <w:headerReference w:type="even" r:id="rId11"/>
      <w:headerReference w:type="default" r:id="rId12"/>
      <w:footerReference w:type="even" r:id="rId13"/>
      <w:footerReference w:type="default" r:id="rId14"/>
      <w:pgSz w:w="11900" w:h="16840"/>
      <w:pgMar w:top="2640" w:right="1418" w:bottom="1134" w:left="1418"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BB33" w14:textId="77777777" w:rsidR="001915DB" w:rsidRDefault="001915DB" w:rsidP="00C565B9">
      <w:r>
        <w:separator/>
      </w:r>
    </w:p>
    <w:p w14:paraId="171945A8" w14:textId="77777777" w:rsidR="001915DB" w:rsidRDefault="001915DB" w:rsidP="00C565B9"/>
  </w:endnote>
  <w:endnote w:type="continuationSeparator" w:id="0">
    <w:p w14:paraId="5FE4AEA1" w14:textId="77777777" w:rsidR="001915DB" w:rsidRDefault="001915DB" w:rsidP="00C565B9">
      <w:r>
        <w:continuationSeparator/>
      </w:r>
    </w:p>
    <w:p w14:paraId="630C3B44" w14:textId="77777777" w:rsidR="001915DB" w:rsidRDefault="001915DB" w:rsidP="00C56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5DF5" w14:textId="77777777" w:rsidR="00C565B9" w:rsidRDefault="00C565B9" w:rsidP="00C56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E5A4B" w14:textId="77777777" w:rsidR="00C565B9" w:rsidRDefault="00C565B9" w:rsidP="00C565B9">
    <w:pPr>
      <w:pStyle w:val="Footer"/>
      <w:ind w:right="360"/>
      <w:rPr>
        <w:rStyle w:val="PageNumber"/>
      </w:rPr>
    </w:pPr>
  </w:p>
  <w:p w14:paraId="1F8AC45E" w14:textId="77777777" w:rsidR="00C565B9" w:rsidRDefault="00C565B9" w:rsidP="00C565B9">
    <w:pPr>
      <w:pStyle w:val="Footer"/>
    </w:pPr>
  </w:p>
  <w:p w14:paraId="299C0AD0" w14:textId="77777777" w:rsidR="00C565B9" w:rsidRDefault="00C565B9" w:rsidP="00C565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9C41" w14:textId="77777777" w:rsidR="00C565B9" w:rsidRDefault="00C565B9" w:rsidP="00C565B9">
    <w:pPr>
      <w:ind w:right="360"/>
    </w:pPr>
  </w:p>
  <w:p w14:paraId="53B55369" w14:textId="01621994" w:rsidR="00E85CF7" w:rsidRPr="00E85CF7" w:rsidRDefault="00E85CF7" w:rsidP="00E85CF7">
    <w:pPr>
      <w:pStyle w:val="Footer"/>
      <w:framePr w:wrap="around" w:vAnchor="text" w:hAnchor="page" w:x="10299" w:y="52"/>
      <w:rPr>
        <w:rStyle w:val="PageNumber"/>
        <w:sz w:val="22"/>
        <w:szCs w:val="22"/>
      </w:rPr>
    </w:pPr>
    <w:r w:rsidRPr="00E85CF7">
      <w:rPr>
        <w:rStyle w:val="PageNumber"/>
        <w:sz w:val="22"/>
        <w:szCs w:val="22"/>
      </w:rPr>
      <w:fldChar w:fldCharType="begin"/>
    </w:r>
    <w:r w:rsidRPr="00E85CF7">
      <w:rPr>
        <w:rStyle w:val="PageNumber"/>
        <w:sz w:val="22"/>
        <w:szCs w:val="22"/>
      </w:rPr>
      <w:instrText xml:space="preserve">PAGE  </w:instrText>
    </w:r>
    <w:r w:rsidRPr="00E85CF7">
      <w:rPr>
        <w:rStyle w:val="PageNumber"/>
        <w:sz w:val="22"/>
        <w:szCs w:val="22"/>
      </w:rPr>
      <w:fldChar w:fldCharType="separate"/>
    </w:r>
    <w:r w:rsidR="00A6090E">
      <w:rPr>
        <w:rStyle w:val="PageNumber"/>
        <w:noProof/>
        <w:sz w:val="22"/>
        <w:szCs w:val="22"/>
      </w:rPr>
      <w:t>2</w:t>
    </w:r>
    <w:r w:rsidRPr="00E85CF7">
      <w:rPr>
        <w:rStyle w:val="PageNumber"/>
        <w:sz w:val="22"/>
        <w:szCs w:val="22"/>
      </w:rPr>
      <w:fldChar w:fldCharType="end"/>
    </w:r>
  </w:p>
  <w:p w14:paraId="6E4DCF43" w14:textId="77777777" w:rsidR="00C565B9" w:rsidRPr="00E85CF7" w:rsidRDefault="00C565B9" w:rsidP="00C565B9">
    <w:pPr>
      <w:ind w:right="360"/>
      <w:rPr>
        <w:sz w:val="20"/>
        <w:szCs w:val="20"/>
      </w:rPr>
    </w:pPr>
    <w:r w:rsidRPr="00E85CF7">
      <w:rPr>
        <w:sz w:val="20"/>
        <w:szCs w:val="20"/>
      </w:rPr>
      <w:t>International Centre for Migration Policy Development</w:t>
    </w:r>
  </w:p>
  <w:p w14:paraId="3A1541AA" w14:textId="77777777" w:rsidR="00C565B9" w:rsidRPr="00BD368B" w:rsidRDefault="00C565B9" w:rsidP="00C565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F3C5" w14:textId="77777777" w:rsidR="001915DB" w:rsidRDefault="001915DB" w:rsidP="00C565B9">
      <w:r>
        <w:separator/>
      </w:r>
    </w:p>
    <w:p w14:paraId="392090C0" w14:textId="77777777" w:rsidR="001915DB" w:rsidRDefault="001915DB" w:rsidP="00C565B9"/>
  </w:footnote>
  <w:footnote w:type="continuationSeparator" w:id="0">
    <w:p w14:paraId="7D6C7220" w14:textId="77777777" w:rsidR="001915DB" w:rsidRDefault="001915DB" w:rsidP="00C565B9">
      <w:r>
        <w:continuationSeparator/>
      </w:r>
    </w:p>
    <w:p w14:paraId="44633108" w14:textId="77777777" w:rsidR="001915DB" w:rsidRDefault="001915DB" w:rsidP="00C565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253A" w14:textId="77777777" w:rsidR="00C565B9" w:rsidRDefault="00C565B9" w:rsidP="00C565B9">
    <w:pPr>
      <w:pStyle w:val="Header"/>
    </w:pPr>
  </w:p>
  <w:p w14:paraId="56E6FCF5" w14:textId="77777777" w:rsidR="00C565B9" w:rsidRDefault="00C565B9" w:rsidP="00C565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2649" w14:textId="77777777" w:rsidR="00C565B9" w:rsidRDefault="00C565B9" w:rsidP="00C565B9">
    <w:pPr>
      <w:ind w:left="-624"/>
    </w:pPr>
    <w:r>
      <w:rPr>
        <w:noProof/>
        <w:lang w:val="en-GB" w:eastAsia="en-GB"/>
      </w:rPr>
      <w:drawing>
        <wp:inline distT="0" distB="0" distL="0" distR="0" wp14:anchorId="602F163F" wp14:editId="09755FF5">
          <wp:extent cx="7059600" cy="1239948"/>
          <wp:effectExtent l="0" t="0" r="1905" b="508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zeile_Publication.png"/>
                  <pic:cNvPicPr/>
                </pic:nvPicPr>
                <pic:blipFill>
                  <a:blip r:embed="rId1">
                    <a:extLst>
                      <a:ext uri="{28A0092B-C50C-407E-A947-70E740481C1C}">
                        <a14:useLocalDpi xmlns:a14="http://schemas.microsoft.com/office/drawing/2010/main" val="0"/>
                      </a:ext>
                    </a:extLst>
                  </a:blip>
                  <a:stretch>
                    <a:fillRect/>
                  </a:stretch>
                </pic:blipFill>
                <pic:spPr>
                  <a:xfrm>
                    <a:off x="0" y="0"/>
                    <a:ext cx="7059600" cy="1239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85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83D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1CEC3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0C72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0ABF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95643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BA77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65216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A9AA7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3A05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B81E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76D45"/>
    <w:multiLevelType w:val="multilevel"/>
    <w:tmpl w:val="A3AA6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46C617A"/>
    <w:multiLevelType w:val="hybridMultilevel"/>
    <w:tmpl w:val="94F4C27C"/>
    <w:lvl w:ilvl="0" w:tplc="0E24F3DC">
      <w:numFmt w:val="bullet"/>
      <w:lvlText w:val="-"/>
      <w:lvlJc w:val="left"/>
      <w:pPr>
        <w:ind w:left="1440" w:hanging="360"/>
      </w:pPr>
      <w:rPr>
        <w:rFonts w:ascii="Century Gothic" w:eastAsia="Times New Roman" w:hAnsi="Century Gothic"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3" w15:restartNumberingAfterBreak="0">
    <w:nsid w:val="132221AB"/>
    <w:multiLevelType w:val="hybridMultilevel"/>
    <w:tmpl w:val="8AAEA8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1E67036C"/>
    <w:multiLevelType w:val="hybridMultilevel"/>
    <w:tmpl w:val="DACA008E"/>
    <w:lvl w:ilvl="0" w:tplc="A4608BB0">
      <w:start w:val="1"/>
      <w:numFmt w:val="bullet"/>
      <w:pStyle w:val="Bulletpoin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B248DA"/>
    <w:multiLevelType w:val="hybridMultilevel"/>
    <w:tmpl w:val="8B828A0A"/>
    <w:lvl w:ilvl="0" w:tplc="4C9C74B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3DD7BDD"/>
    <w:multiLevelType w:val="hybridMultilevel"/>
    <w:tmpl w:val="945AEF8A"/>
    <w:lvl w:ilvl="0" w:tplc="26CEFD6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A3A52"/>
    <w:multiLevelType w:val="hybridMultilevel"/>
    <w:tmpl w:val="21089DA4"/>
    <w:lvl w:ilvl="0" w:tplc="0DAE4CF4">
      <w:start w:val="1"/>
      <w:numFmt w:val="decimal"/>
      <w:lvlText w:val="%1."/>
      <w:lvlJc w:val="left"/>
      <w:pPr>
        <w:ind w:left="946" w:hanging="360"/>
      </w:pPr>
      <w:rPr>
        <w:rFonts w:ascii="Arial" w:eastAsia="Arial" w:hAnsi="Arial" w:cs="Arial" w:hint="default"/>
        <w:b w:val="0"/>
        <w:bCs w:val="0"/>
        <w:i w:val="0"/>
        <w:iCs w:val="0"/>
        <w:spacing w:val="-1"/>
        <w:w w:val="99"/>
        <w:sz w:val="20"/>
        <w:szCs w:val="20"/>
        <w:lang w:val="en-US" w:eastAsia="en-US" w:bidi="ar-SA"/>
      </w:rPr>
    </w:lvl>
    <w:lvl w:ilvl="1" w:tplc="7CFC5B0C">
      <w:numFmt w:val="bullet"/>
      <w:lvlText w:val="•"/>
      <w:lvlJc w:val="left"/>
      <w:pPr>
        <w:ind w:left="1816" w:hanging="360"/>
      </w:pPr>
      <w:rPr>
        <w:rFonts w:hint="default"/>
        <w:lang w:val="en-US" w:eastAsia="en-US" w:bidi="ar-SA"/>
      </w:rPr>
    </w:lvl>
    <w:lvl w:ilvl="2" w:tplc="5A38A276">
      <w:numFmt w:val="bullet"/>
      <w:lvlText w:val="•"/>
      <w:lvlJc w:val="left"/>
      <w:pPr>
        <w:ind w:left="2693" w:hanging="360"/>
      </w:pPr>
      <w:rPr>
        <w:rFonts w:hint="default"/>
        <w:lang w:val="en-US" w:eastAsia="en-US" w:bidi="ar-SA"/>
      </w:rPr>
    </w:lvl>
    <w:lvl w:ilvl="3" w:tplc="1402D958">
      <w:numFmt w:val="bullet"/>
      <w:lvlText w:val="•"/>
      <w:lvlJc w:val="left"/>
      <w:pPr>
        <w:ind w:left="3569" w:hanging="360"/>
      </w:pPr>
      <w:rPr>
        <w:rFonts w:hint="default"/>
        <w:lang w:val="en-US" w:eastAsia="en-US" w:bidi="ar-SA"/>
      </w:rPr>
    </w:lvl>
    <w:lvl w:ilvl="4" w:tplc="9066FBFC">
      <w:numFmt w:val="bullet"/>
      <w:lvlText w:val="•"/>
      <w:lvlJc w:val="left"/>
      <w:pPr>
        <w:ind w:left="4446" w:hanging="360"/>
      </w:pPr>
      <w:rPr>
        <w:rFonts w:hint="default"/>
        <w:lang w:val="en-US" w:eastAsia="en-US" w:bidi="ar-SA"/>
      </w:rPr>
    </w:lvl>
    <w:lvl w:ilvl="5" w:tplc="94BEE010">
      <w:numFmt w:val="bullet"/>
      <w:lvlText w:val="•"/>
      <w:lvlJc w:val="left"/>
      <w:pPr>
        <w:ind w:left="5323" w:hanging="360"/>
      </w:pPr>
      <w:rPr>
        <w:rFonts w:hint="default"/>
        <w:lang w:val="en-US" w:eastAsia="en-US" w:bidi="ar-SA"/>
      </w:rPr>
    </w:lvl>
    <w:lvl w:ilvl="6" w:tplc="423A4140">
      <w:numFmt w:val="bullet"/>
      <w:lvlText w:val="•"/>
      <w:lvlJc w:val="left"/>
      <w:pPr>
        <w:ind w:left="6199" w:hanging="360"/>
      </w:pPr>
      <w:rPr>
        <w:rFonts w:hint="default"/>
        <w:lang w:val="en-US" w:eastAsia="en-US" w:bidi="ar-SA"/>
      </w:rPr>
    </w:lvl>
    <w:lvl w:ilvl="7" w:tplc="99DAD67C">
      <w:numFmt w:val="bullet"/>
      <w:lvlText w:val="•"/>
      <w:lvlJc w:val="left"/>
      <w:pPr>
        <w:ind w:left="7076" w:hanging="360"/>
      </w:pPr>
      <w:rPr>
        <w:rFonts w:hint="default"/>
        <w:lang w:val="en-US" w:eastAsia="en-US" w:bidi="ar-SA"/>
      </w:rPr>
    </w:lvl>
    <w:lvl w:ilvl="8" w:tplc="D796235A">
      <w:numFmt w:val="bullet"/>
      <w:lvlText w:val="•"/>
      <w:lvlJc w:val="left"/>
      <w:pPr>
        <w:ind w:left="7953" w:hanging="360"/>
      </w:pPr>
      <w:rPr>
        <w:rFonts w:hint="default"/>
        <w:lang w:val="en-US" w:eastAsia="en-US" w:bidi="ar-SA"/>
      </w:rPr>
    </w:lvl>
  </w:abstractNum>
  <w:abstractNum w:abstractNumId="18" w15:restartNumberingAfterBreak="0">
    <w:nsid w:val="332D10BC"/>
    <w:multiLevelType w:val="hybridMultilevel"/>
    <w:tmpl w:val="721E6C34"/>
    <w:lvl w:ilvl="0" w:tplc="11B80B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60826"/>
    <w:multiLevelType w:val="hybridMultilevel"/>
    <w:tmpl w:val="E1EA53E2"/>
    <w:lvl w:ilvl="0" w:tplc="A67C59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E6592"/>
    <w:multiLevelType w:val="hybridMultilevel"/>
    <w:tmpl w:val="9AB48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F1685"/>
    <w:multiLevelType w:val="hybridMultilevel"/>
    <w:tmpl w:val="3536B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6754870">
    <w:abstractNumId w:val="14"/>
  </w:num>
  <w:num w:numId="2" w16cid:durableId="1773162517">
    <w:abstractNumId w:val="14"/>
  </w:num>
  <w:num w:numId="3" w16cid:durableId="791748248">
    <w:abstractNumId w:val="14"/>
  </w:num>
  <w:num w:numId="4" w16cid:durableId="2128431755">
    <w:abstractNumId w:val="0"/>
  </w:num>
  <w:num w:numId="5" w16cid:durableId="799155184">
    <w:abstractNumId w:val="1"/>
  </w:num>
  <w:num w:numId="6" w16cid:durableId="961960442">
    <w:abstractNumId w:val="2"/>
  </w:num>
  <w:num w:numId="7" w16cid:durableId="639918928">
    <w:abstractNumId w:val="3"/>
  </w:num>
  <w:num w:numId="8" w16cid:durableId="892079399">
    <w:abstractNumId w:val="4"/>
  </w:num>
  <w:num w:numId="9" w16cid:durableId="1569727731">
    <w:abstractNumId w:val="9"/>
  </w:num>
  <w:num w:numId="10" w16cid:durableId="526601002">
    <w:abstractNumId w:val="5"/>
  </w:num>
  <w:num w:numId="11" w16cid:durableId="1503935267">
    <w:abstractNumId w:val="6"/>
  </w:num>
  <w:num w:numId="12" w16cid:durableId="1527477709">
    <w:abstractNumId w:val="7"/>
  </w:num>
  <w:num w:numId="13" w16cid:durableId="734399485">
    <w:abstractNumId w:val="8"/>
  </w:num>
  <w:num w:numId="14" w16cid:durableId="590087025">
    <w:abstractNumId w:val="10"/>
  </w:num>
  <w:num w:numId="15" w16cid:durableId="910575687">
    <w:abstractNumId w:val="21"/>
  </w:num>
  <w:num w:numId="16" w16cid:durableId="1711031005">
    <w:abstractNumId w:val="20"/>
  </w:num>
  <w:num w:numId="17" w16cid:durableId="1385906563">
    <w:abstractNumId w:val="15"/>
  </w:num>
  <w:num w:numId="18" w16cid:durableId="1261838532">
    <w:abstractNumId w:val="16"/>
  </w:num>
  <w:num w:numId="19" w16cid:durableId="1432358395">
    <w:abstractNumId w:val="19"/>
  </w:num>
  <w:num w:numId="20" w16cid:durableId="1271468242">
    <w:abstractNumId w:val="18"/>
  </w:num>
  <w:num w:numId="21" w16cid:durableId="237056664">
    <w:abstractNumId w:val="12"/>
  </w:num>
  <w:num w:numId="22" w16cid:durableId="920874660">
    <w:abstractNumId w:val="13"/>
  </w:num>
  <w:num w:numId="23" w16cid:durableId="2020933838">
    <w:abstractNumId w:val="17"/>
  </w:num>
  <w:num w:numId="24" w16cid:durableId="15752365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xsLAwMzYxNzQ1NDVR0lEKTi0uzszPAykwqQUAWPQSGSwAAAA="/>
  </w:docVars>
  <w:rsids>
    <w:rsidRoot w:val="00851B46"/>
    <w:rsid w:val="00003CF1"/>
    <w:rsid w:val="00013C1D"/>
    <w:rsid w:val="00017E10"/>
    <w:rsid w:val="00023057"/>
    <w:rsid w:val="00072AB3"/>
    <w:rsid w:val="00076493"/>
    <w:rsid w:val="000811CA"/>
    <w:rsid w:val="000C170F"/>
    <w:rsid w:val="000D41F4"/>
    <w:rsid w:val="000E3F2F"/>
    <w:rsid w:val="00103F8C"/>
    <w:rsid w:val="00132C98"/>
    <w:rsid w:val="001504CA"/>
    <w:rsid w:val="0015545C"/>
    <w:rsid w:val="0017000F"/>
    <w:rsid w:val="001915DB"/>
    <w:rsid w:val="001944A5"/>
    <w:rsid w:val="001A4E79"/>
    <w:rsid w:val="001B01F1"/>
    <w:rsid w:val="001F178F"/>
    <w:rsid w:val="001F255E"/>
    <w:rsid w:val="00210318"/>
    <w:rsid w:val="00224D21"/>
    <w:rsid w:val="00233015"/>
    <w:rsid w:val="00240517"/>
    <w:rsid w:val="002623CA"/>
    <w:rsid w:val="002861F5"/>
    <w:rsid w:val="002A4699"/>
    <w:rsid w:val="002D00F0"/>
    <w:rsid w:val="00321297"/>
    <w:rsid w:val="00330DC3"/>
    <w:rsid w:val="00375330"/>
    <w:rsid w:val="003A0D05"/>
    <w:rsid w:val="003A155D"/>
    <w:rsid w:val="003F08F2"/>
    <w:rsid w:val="00402E5B"/>
    <w:rsid w:val="0040779F"/>
    <w:rsid w:val="00436FF4"/>
    <w:rsid w:val="00447575"/>
    <w:rsid w:val="004637D6"/>
    <w:rsid w:val="004671E5"/>
    <w:rsid w:val="00472C33"/>
    <w:rsid w:val="004845D6"/>
    <w:rsid w:val="004A47B0"/>
    <w:rsid w:val="004B706E"/>
    <w:rsid w:val="004C0892"/>
    <w:rsid w:val="004D6D82"/>
    <w:rsid w:val="00500873"/>
    <w:rsid w:val="00500F38"/>
    <w:rsid w:val="0054126F"/>
    <w:rsid w:val="00570B7D"/>
    <w:rsid w:val="005B6585"/>
    <w:rsid w:val="005C1A3B"/>
    <w:rsid w:val="005E4118"/>
    <w:rsid w:val="00610AE1"/>
    <w:rsid w:val="00611C88"/>
    <w:rsid w:val="00626195"/>
    <w:rsid w:val="006A0D80"/>
    <w:rsid w:val="006D7B7C"/>
    <w:rsid w:val="006E1BCF"/>
    <w:rsid w:val="006E515E"/>
    <w:rsid w:val="00703BDF"/>
    <w:rsid w:val="007330F7"/>
    <w:rsid w:val="00744A7F"/>
    <w:rsid w:val="00747E7C"/>
    <w:rsid w:val="0075042D"/>
    <w:rsid w:val="00751FCD"/>
    <w:rsid w:val="007524C9"/>
    <w:rsid w:val="007554E7"/>
    <w:rsid w:val="00767936"/>
    <w:rsid w:val="00767C3A"/>
    <w:rsid w:val="0079093D"/>
    <w:rsid w:val="00795B30"/>
    <w:rsid w:val="007B1865"/>
    <w:rsid w:val="007D59DC"/>
    <w:rsid w:val="0080586F"/>
    <w:rsid w:val="00806089"/>
    <w:rsid w:val="00851B46"/>
    <w:rsid w:val="00877AFE"/>
    <w:rsid w:val="00883552"/>
    <w:rsid w:val="0088516D"/>
    <w:rsid w:val="00894230"/>
    <w:rsid w:val="008A0CCC"/>
    <w:rsid w:val="008B5EB8"/>
    <w:rsid w:val="008C25B6"/>
    <w:rsid w:val="00904AC4"/>
    <w:rsid w:val="00905D2E"/>
    <w:rsid w:val="00921DC0"/>
    <w:rsid w:val="009247DB"/>
    <w:rsid w:val="0092670C"/>
    <w:rsid w:val="009513FE"/>
    <w:rsid w:val="00960301"/>
    <w:rsid w:val="009A02BF"/>
    <w:rsid w:val="009C1ECC"/>
    <w:rsid w:val="009C20C4"/>
    <w:rsid w:val="009D044F"/>
    <w:rsid w:val="009D20FE"/>
    <w:rsid w:val="009E2F8D"/>
    <w:rsid w:val="00A138BD"/>
    <w:rsid w:val="00A35FCD"/>
    <w:rsid w:val="00A44CEA"/>
    <w:rsid w:val="00A50322"/>
    <w:rsid w:val="00A53ADC"/>
    <w:rsid w:val="00A6090E"/>
    <w:rsid w:val="00A663BB"/>
    <w:rsid w:val="00A7695D"/>
    <w:rsid w:val="00A85730"/>
    <w:rsid w:val="00AB0545"/>
    <w:rsid w:val="00AC298E"/>
    <w:rsid w:val="00AF15D1"/>
    <w:rsid w:val="00AF7476"/>
    <w:rsid w:val="00B01DC6"/>
    <w:rsid w:val="00B070EE"/>
    <w:rsid w:val="00B13111"/>
    <w:rsid w:val="00B35AB6"/>
    <w:rsid w:val="00B37824"/>
    <w:rsid w:val="00B40A08"/>
    <w:rsid w:val="00B50AEC"/>
    <w:rsid w:val="00B5175E"/>
    <w:rsid w:val="00B650FC"/>
    <w:rsid w:val="00B757E4"/>
    <w:rsid w:val="00B909FB"/>
    <w:rsid w:val="00BA469D"/>
    <w:rsid w:val="00BA7694"/>
    <w:rsid w:val="00BD368B"/>
    <w:rsid w:val="00BE3C28"/>
    <w:rsid w:val="00C0634F"/>
    <w:rsid w:val="00C0724E"/>
    <w:rsid w:val="00C419A5"/>
    <w:rsid w:val="00C545F9"/>
    <w:rsid w:val="00C565B9"/>
    <w:rsid w:val="00C83406"/>
    <w:rsid w:val="00C95EBF"/>
    <w:rsid w:val="00CA55B6"/>
    <w:rsid w:val="00CB2F2E"/>
    <w:rsid w:val="00CD289B"/>
    <w:rsid w:val="00CD69CC"/>
    <w:rsid w:val="00CE7303"/>
    <w:rsid w:val="00D01250"/>
    <w:rsid w:val="00D02711"/>
    <w:rsid w:val="00D21AD6"/>
    <w:rsid w:val="00D53E29"/>
    <w:rsid w:val="00D556A0"/>
    <w:rsid w:val="00D643FD"/>
    <w:rsid w:val="00D93C2B"/>
    <w:rsid w:val="00DB2BBA"/>
    <w:rsid w:val="00DB2C5D"/>
    <w:rsid w:val="00DC7108"/>
    <w:rsid w:val="00DD2B20"/>
    <w:rsid w:val="00DE5C68"/>
    <w:rsid w:val="00E00BE4"/>
    <w:rsid w:val="00E20047"/>
    <w:rsid w:val="00E26369"/>
    <w:rsid w:val="00E340F2"/>
    <w:rsid w:val="00E45683"/>
    <w:rsid w:val="00E4725B"/>
    <w:rsid w:val="00E50FD1"/>
    <w:rsid w:val="00E5701D"/>
    <w:rsid w:val="00E66318"/>
    <w:rsid w:val="00E76DFA"/>
    <w:rsid w:val="00E8053D"/>
    <w:rsid w:val="00E85CF7"/>
    <w:rsid w:val="00EA65A5"/>
    <w:rsid w:val="00ED40D9"/>
    <w:rsid w:val="00EF29E3"/>
    <w:rsid w:val="00EF6ED0"/>
    <w:rsid w:val="00F47AD6"/>
    <w:rsid w:val="00F64049"/>
    <w:rsid w:val="00F919CA"/>
    <w:rsid w:val="00F9512A"/>
    <w:rsid w:val="00FD718E"/>
    <w:rsid w:val="00FF708A"/>
    <w:rsid w:val="00FF7A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63305"/>
  <w14:defaultImageDpi w14:val="32767"/>
  <w15:docId w15:val="{B2618D37-F0F3-4094-8802-A2F1CAC7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5B9"/>
    <w:pPr>
      <w:spacing w:line="276" w:lineRule="auto"/>
      <w:jc w:val="both"/>
    </w:pPr>
    <w:rPr>
      <w:color w:val="404040" w:themeColor="background2" w:themeShade="40"/>
      <w:lang w:val="en-US" w:eastAsia="de-DE"/>
    </w:rPr>
  </w:style>
  <w:style w:type="paragraph" w:styleId="Heading1">
    <w:name w:val="heading 1"/>
    <w:basedOn w:val="Normal"/>
    <w:next w:val="Normal"/>
    <w:link w:val="Heading1Char"/>
    <w:uiPriority w:val="9"/>
    <w:qFormat/>
    <w:rsid w:val="00611C88"/>
    <w:pPr>
      <w:keepNext/>
      <w:keepLines/>
      <w:spacing w:before="240"/>
      <w:outlineLvl w:val="0"/>
    </w:pPr>
    <w:rPr>
      <w:rFonts w:asciiTheme="majorHAnsi" w:eastAsiaTheme="majorEastAsia" w:hAnsiTheme="majorHAnsi" w:cstheme="majorBidi"/>
      <w:color w:val="A8880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C88"/>
    <w:rPr>
      <w:rFonts w:asciiTheme="majorHAnsi" w:eastAsiaTheme="majorEastAsia" w:hAnsiTheme="majorHAnsi" w:cstheme="majorBidi"/>
      <w:color w:val="A8880D" w:themeColor="accent1" w:themeShade="BF"/>
      <w:sz w:val="32"/>
      <w:szCs w:val="32"/>
    </w:rPr>
  </w:style>
  <w:style w:type="character" w:styleId="Hyperlink">
    <w:name w:val="Hyperlink"/>
    <w:basedOn w:val="DefaultParagraphFont"/>
    <w:uiPriority w:val="99"/>
    <w:unhideWhenUsed/>
    <w:rsid w:val="00472C33"/>
    <w:rPr>
      <w:color w:val="0563C1" w:themeColor="hyperlink"/>
      <w:u w:val="single"/>
    </w:rPr>
  </w:style>
  <w:style w:type="character" w:customStyle="1" w:styleId="AuthorinReferences">
    <w:name w:val="Author in References"/>
    <w:basedOn w:val="DefaultParagraphFont"/>
    <w:uiPriority w:val="1"/>
    <w:qFormat/>
    <w:rsid w:val="00472C33"/>
    <w:rPr>
      <w:b/>
    </w:rPr>
  </w:style>
  <w:style w:type="paragraph" w:styleId="Header">
    <w:name w:val="header"/>
    <w:basedOn w:val="Normal"/>
    <w:link w:val="HeaderChar"/>
    <w:uiPriority w:val="99"/>
    <w:unhideWhenUsed/>
    <w:rsid w:val="00AF15D1"/>
    <w:pPr>
      <w:tabs>
        <w:tab w:val="center" w:pos="4536"/>
        <w:tab w:val="right" w:pos="9072"/>
      </w:tabs>
    </w:pPr>
  </w:style>
  <w:style w:type="character" w:customStyle="1" w:styleId="HeaderChar">
    <w:name w:val="Header Char"/>
    <w:basedOn w:val="DefaultParagraphFont"/>
    <w:link w:val="Header"/>
    <w:uiPriority w:val="99"/>
    <w:rsid w:val="00AF15D1"/>
  </w:style>
  <w:style w:type="paragraph" w:styleId="Footer">
    <w:name w:val="footer"/>
    <w:basedOn w:val="Normal"/>
    <w:link w:val="FooterChar"/>
    <w:uiPriority w:val="99"/>
    <w:unhideWhenUsed/>
    <w:rsid w:val="00AF15D1"/>
    <w:pPr>
      <w:tabs>
        <w:tab w:val="center" w:pos="4536"/>
        <w:tab w:val="right" w:pos="9072"/>
      </w:tabs>
    </w:pPr>
  </w:style>
  <w:style w:type="character" w:customStyle="1" w:styleId="FooterChar">
    <w:name w:val="Footer Char"/>
    <w:basedOn w:val="DefaultParagraphFont"/>
    <w:link w:val="Footer"/>
    <w:uiPriority w:val="99"/>
    <w:rsid w:val="00AF15D1"/>
  </w:style>
  <w:style w:type="character" w:styleId="PageNumber">
    <w:name w:val="page number"/>
    <w:basedOn w:val="DefaultParagraphFont"/>
    <w:uiPriority w:val="99"/>
    <w:semiHidden/>
    <w:unhideWhenUsed/>
    <w:rsid w:val="00E8053D"/>
  </w:style>
  <w:style w:type="paragraph" w:customStyle="1" w:styleId="HeadlineAuthor">
    <w:name w:val="Headline Author"/>
    <w:basedOn w:val="Normal"/>
    <w:qFormat/>
    <w:rsid w:val="00611C88"/>
    <w:pPr>
      <w:spacing w:after="360"/>
    </w:pPr>
    <w:rPr>
      <w:rFonts w:ascii="Calibri" w:hAnsi="Calibri" w:cs="Times New Roman"/>
      <w:color w:val="1B4448"/>
    </w:rPr>
  </w:style>
  <w:style w:type="paragraph" w:customStyle="1" w:styleId="Headline">
    <w:name w:val="Headline"/>
    <w:basedOn w:val="Normal"/>
    <w:qFormat/>
    <w:rsid w:val="00611C88"/>
    <w:pPr>
      <w:outlineLvl w:val="0"/>
    </w:pPr>
    <w:rPr>
      <w:rFonts w:ascii="Calibri" w:hAnsi="Calibri" w:cs="Times New Roman"/>
      <w:b/>
      <w:bCs/>
      <w:color w:val="FFB200"/>
    </w:rPr>
  </w:style>
  <w:style w:type="paragraph" w:customStyle="1" w:styleId="Anfhrungszeichen1">
    <w:name w:val="Anführungszeichen1"/>
    <w:basedOn w:val="Normal"/>
    <w:next w:val="Normal"/>
    <w:qFormat/>
    <w:rsid w:val="00C565B9"/>
    <w:pPr>
      <w:spacing w:before="240" w:after="240"/>
      <w:ind w:left="567" w:right="567"/>
    </w:pPr>
    <w:rPr>
      <w:i/>
    </w:rPr>
  </w:style>
  <w:style w:type="paragraph" w:customStyle="1" w:styleId="HighlightningHeadline">
    <w:name w:val="Highlightning Headline"/>
    <w:basedOn w:val="Headline"/>
    <w:qFormat/>
    <w:rsid w:val="00611C88"/>
    <w:pPr>
      <w:ind w:left="567"/>
    </w:pPr>
  </w:style>
  <w:style w:type="paragraph" w:customStyle="1" w:styleId="Bulletpoints">
    <w:name w:val="Bulletpoints"/>
    <w:basedOn w:val="Normal"/>
    <w:next w:val="Normal"/>
    <w:qFormat/>
    <w:rsid w:val="00C565B9"/>
    <w:pPr>
      <w:numPr>
        <w:numId w:val="3"/>
      </w:numPr>
      <w:spacing w:before="240" w:after="240"/>
      <w:ind w:right="567"/>
      <w:contextualSpacing/>
    </w:pPr>
  </w:style>
  <w:style w:type="paragraph" w:customStyle="1" w:styleId="HighlightningwithBackground">
    <w:name w:val="Highlightning with Background"/>
    <w:basedOn w:val="Normal"/>
    <w:next w:val="Normal"/>
    <w:qFormat/>
    <w:rsid w:val="00C565B9"/>
    <w:pPr>
      <w:pBdr>
        <w:top w:val="single" w:sz="48" w:space="3" w:color="F2F2F2" w:themeColor="background1" w:themeShade="F2"/>
        <w:left w:val="single" w:sz="48" w:space="5" w:color="F2F2F2" w:themeColor="background1" w:themeShade="F2"/>
        <w:bottom w:val="single" w:sz="48" w:space="3" w:color="F2F2F2" w:themeColor="background1" w:themeShade="F2"/>
        <w:right w:val="single" w:sz="48" w:space="5" w:color="F2F2F2" w:themeColor="background1" w:themeShade="F2"/>
      </w:pBdr>
      <w:shd w:val="solid" w:color="F2F2F2" w:themeColor="background1" w:themeShade="F2" w:fill="auto"/>
      <w:spacing w:before="240" w:after="360"/>
      <w:ind w:left="567" w:right="567"/>
      <w:contextualSpacing/>
    </w:pPr>
    <w:rPr>
      <w:rFonts w:ascii="Calibri" w:hAnsi="Calibri"/>
      <w:color w:val="3E3B3B" w:themeColor="text2" w:themeShade="BF"/>
    </w:rPr>
  </w:style>
  <w:style w:type="paragraph" w:customStyle="1" w:styleId="BulletpointswithBackground">
    <w:name w:val="Bulletpoints with Background"/>
    <w:basedOn w:val="Bulletpoints"/>
    <w:next w:val="Normal"/>
    <w:qFormat/>
    <w:rsid w:val="00611C88"/>
    <w:pPr>
      <w:pBdr>
        <w:top w:val="single" w:sz="48" w:space="4" w:color="F2F2F2" w:themeColor="background1" w:themeShade="F2"/>
        <w:left w:val="single" w:sz="48" w:space="6" w:color="F2F2F2" w:themeColor="background1" w:themeShade="F2"/>
        <w:bottom w:val="single" w:sz="48" w:space="4" w:color="F2F2F2" w:themeColor="background1" w:themeShade="F2"/>
        <w:right w:val="single" w:sz="48" w:space="6" w:color="F2F2F2" w:themeColor="background1" w:themeShade="F2"/>
      </w:pBdr>
      <w:shd w:val="solid" w:color="F2F2F2" w:themeColor="background1" w:themeShade="F2" w:fill="auto"/>
      <w:ind w:left="924" w:hanging="357"/>
    </w:pPr>
  </w:style>
  <w:style w:type="paragraph" w:customStyle="1" w:styleId="ProjectHeadline">
    <w:name w:val="Project Headline"/>
    <w:basedOn w:val="Normal"/>
    <w:qFormat/>
    <w:rsid w:val="00BD368B"/>
    <w:pPr>
      <w:spacing w:after="120"/>
    </w:pPr>
    <w:rPr>
      <w:rFonts w:ascii="Calibri" w:hAnsi="Calibri" w:cs="Times New Roman"/>
      <w:b/>
      <w:bCs/>
      <w:color w:val="FFB200"/>
      <w:sz w:val="36"/>
      <w:szCs w:val="36"/>
    </w:rPr>
  </w:style>
  <w:style w:type="paragraph" w:customStyle="1" w:styleId="Subline">
    <w:name w:val="Subline"/>
    <w:basedOn w:val="Normal"/>
    <w:next w:val="HeadlineAuthor"/>
    <w:qFormat/>
    <w:rsid w:val="00BD368B"/>
    <w:rPr>
      <w:rFonts w:ascii="Calibri" w:hAnsi="Calibri" w:cs="Times New Roman"/>
      <w:color w:val="1B4448"/>
      <w:sz w:val="32"/>
      <w:szCs w:val="32"/>
    </w:rPr>
  </w:style>
  <w:style w:type="paragraph" w:styleId="BalloonText">
    <w:name w:val="Balloon Text"/>
    <w:basedOn w:val="Normal"/>
    <w:link w:val="BalloonTextChar"/>
    <w:uiPriority w:val="99"/>
    <w:semiHidden/>
    <w:unhideWhenUsed/>
    <w:rsid w:val="00C56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5B9"/>
    <w:rPr>
      <w:rFonts w:ascii="Lucida Grande" w:hAnsi="Lucida Grande" w:cs="Lucida Grande"/>
      <w:sz w:val="18"/>
      <w:szCs w:val="18"/>
    </w:rPr>
  </w:style>
  <w:style w:type="paragraph" w:customStyle="1" w:styleId="ICMPDBodyCopy">
    <w:name w:val="ICMPD Body Copy"/>
    <w:basedOn w:val="Normal"/>
    <w:rsid w:val="00851B46"/>
    <w:pPr>
      <w:spacing w:line="280" w:lineRule="exact"/>
    </w:pPr>
    <w:rPr>
      <w:rFonts w:ascii="Times New Roman" w:eastAsia="Times" w:hAnsi="Times New Roman" w:cs="Times New Roman"/>
      <w:color w:val="auto"/>
      <w:sz w:val="22"/>
      <w:szCs w:val="20"/>
      <w:lang w:eastAsia="en-US"/>
    </w:rPr>
  </w:style>
  <w:style w:type="paragraph" w:styleId="ListParagraph">
    <w:name w:val="List Paragraph"/>
    <w:aliases w:val="Bullets,Normal 1,List Paragraph 1,Akapit z listą BS,Dot pt,F5 List Paragraph,List Paragraph1,No Spacing1,List Paragraph Char Char Char,Indicator Text,Colorful List - Accent 11,Numbered Para 1,Bullet 1,Bullet Points,MAIN CONTENT,Paragraph"/>
    <w:basedOn w:val="Normal"/>
    <w:link w:val="ListParagraphChar"/>
    <w:uiPriority w:val="34"/>
    <w:qFormat/>
    <w:rsid w:val="00851B46"/>
    <w:pPr>
      <w:ind w:left="720"/>
      <w:contextualSpacing/>
    </w:pPr>
  </w:style>
  <w:style w:type="character" w:customStyle="1" w:styleId="ListParagraphChar">
    <w:name w:val="List Paragraph Char"/>
    <w:aliases w:val="Bullets Char,Normal 1 Char,List Paragraph 1 Char,Akapit z listą BS Char,Dot pt Char,F5 List Paragraph Char,List Paragraph1 Char,No Spacing1 Char,List Paragraph Char Char Char Char,Indicator Text Char,Colorful List - Accent 11 Char"/>
    <w:link w:val="ListParagraph"/>
    <w:uiPriority w:val="34"/>
    <w:qFormat/>
    <w:locked/>
    <w:rsid w:val="00FD718E"/>
    <w:rPr>
      <w:color w:val="404040" w:themeColor="background2" w:themeShade="40"/>
      <w:lang w:val="en-US" w:eastAsia="de-DE"/>
    </w:rPr>
  </w:style>
  <w:style w:type="character" w:styleId="Strong">
    <w:name w:val="Strong"/>
    <w:basedOn w:val="DefaultParagraphFont"/>
    <w:uiPriority w:val="22"/>
    <w:qFormat/>
    <w:rsid w:val="00B50AEC"/>
    <w:rPr>
      <w:b/>
      <w:bCs/>
    </w:rPr>
  </w:style>
  <w:style w:type="paragraph" w:styleId="FootnoteText">
    <w:name w:val="footnote text"/>
    <w:basedOn w:val="Normal"/>
    <w:link w:val="FootnoteTextChar"/>
    <w:uiPriority w:val="99"/>
    <w:semiHidden/>
    <w:unhideWhenUsed/>
    <w:rsid w:val="001944A5"/>
    <w:pPr>
      <w:spacing w:line="240" w:lineRule="auto"/>
    </w:pPr>
    <w:rPr>
      <w:sz w:val="20"/>
      <w:szCs w:val="20"/>
    </w:rPr>
  </w:style>
  <w:style w:type="character" w:customStyle="1" w:styleId="FootnoteTextChar">
    <w:name w:val="Footnote Text Char"/>
    <w:basedOn w:val="DefaultParagraphFont"/>
    <w:link w:val="FootnoteText"/>
    <w:uiPriority w:val="99"/>
    <w:semiHidden/>
    <w:rsid w:val="001944A5"/>
    <w:rPr>
      <w:color w:val="404040" w:themeColor="background2" w:themeShade="40"/>
      <w:sz w:val="20"/>
      <w:szCs w:val="20"/>
      <w:lang w:val="en-US" w:eastAsia="de-DE"/>
    </w:rPr>
  </w:style>
  <w:style w:type="character" w:styleId="FootnoteReference">
    <w:name w:val="footnote reference"/>
    <w:basedOn w:val="DefaultParagraphFont"/>
    <w:uiPriority w:val="99"/>
    <w:semiHidden/>
    <w:unhideWhenUsed/>
    <w:rsid w:val="001944A5"/>
    <w:rPr>
      <w:vertAlign w:val="superscript"/>
    </w:rPr>
  </w:style>
  <w:style w:type="character" w:styleId="CommentReference">
    <w:name w:val="annotation reference"/>
    <w:basedOn w:val="DefaultParagraphFont"/>
    <w:uiPriority w:val="99"/>
    <w:semiHidden/>
    <w:unhideWhenUsed/>
    <w:rsid w:val="00904AC4"/>
    <w:rPr>
      <w:sz w:val="16"/>
      <w:szCs w:val="16"/>
    </w:rPr>
  </w:style>
  <w:style w:type="paragraph" w:styleId="CommentText">
    <w:name w:val="annotation text"/>
    <w:basedOn w:val="Normal"/>
    <w:link w:val="CommentTextChar"/>
    <w:uiPriority w:val="99"/>
    <w:semiHidden/>
    <w:unhideWhenUsed/>
    <w:rsid w:val="00904AC4"/>
    <w:pPr>
      <w:spacing w:line="240" w:lineRule="auto"/>
    </w:pPr>
    <w:rPr>
      <w:sz w:val="20"/>
      <w:szCs w:val="20"/>
    </w:rPr>
  </w:style>
  <w:style w:type="character" w:customStyle="1" w:styleId="CommentTextChar">
    <w:name w:val="Comment Text Char"/>
    <w:basedOn w:val="DefaultParagraphFont"/>
    <w:link w:val="CommentText"/>
    <w:uiPriority w:val="99"/>
    <w:semiHidden/>
    <w:rsid w:val="00904AC4"/>
    <w:rPr>
      <w:color w:val="404040" w:themeColor="background2" w:themeShade="40"/>
      <w:sz w:val="20"/>
      <w:szCs w:val="20"/>
      <w:lang w:val="en-US" w:eastAsia="de-DE"/>
    </w:rPr>
  </w:style>
  <w:style w:type="paragraph" w:styleId="CommentSubject">
    <w:name w:val="annotation subject"/>
    <w:basedOn w:val="CommentText"/>
    <w:next w:val="CommentText"/>
    <w:link w:val="CommentSubjectChar"/>
    <w:uiPriority w:val="99"/>
    <w:semiHidden/>
    <w:unhideWhenUsed/>
    <w:rsid w:val="00904AC4"/>
    <w:rPr>
      <w:b/>
      <w:bCs/>
    </w:rPr>
  </w:style>
  <w:style w:type="character" w:customStyle="1" w:styleId="CommentSubjectChar">
    <w:name w:val="Comment Subject Char"/>
    <w:basedOn w:val="CommentTextChar"/>
    <w:link w:val="CommentSubject"/>
    <w:uiPriority w:val="99"/>
    <w:semiHidden/>
    <w:rsid w:val="00904AC4"/>
    <w:rPr>
      <w:b/>
      <w:bCs/>
      <w:color w:val="404040" w:themeColor="background2" w:themeShade="40"/>
      <w:sz w:val="20"/>
      <w:szCs w:val="20"/>
      <w:lang w:val="en-US" w:eastAsia="de-DE"/>
    </w:rPr>
  </w:style>
  <w:style w:type="paragraph" w:styleId="BodyText">
    <w:name w:val="Body Text"/>
    <w:basedOn w:val="Normal"/>
    <w:link w:val="BodyTextChar"/>
    <w:uiPriority w:val="1"/>
    <w:qFormat/>
    <w:rsid w:val="0088516D"/>
    <w:pPr>
      <w:widowControl w:val="0"/>
      <w:autoSpaceDE w:val="0"/>
      <w:autoSpaceDN w:val="0"/>
      <w:spacing w:line="240" w:lineRule="auto"/>
      <w:jc w:val="left"/>
    </w:pPr>
    <w:rPr>
      <w:rFonts w:ascii="Arial" w:eastAsia="Arial" w:hAnsi="Arial" w:cs="Arial"/>
      <w:color w:val="auto"/>
      <w:sz w:val="20"/>
      <w:szCs w:val="20"/>
      <w:lang w:eastAsia="en-US"/>
    </w:rPr>
  </w:style>
  <w:style w:type="character" w:customStyle="1" w:styleId="BodyTextChar">
    <w:name w:val="Body Text Char"/>
    <w:basedOn w:val="DefaultParagraphFont"/>
    <w:link w:val="BodyText"/>
    <w:uiPriority w:val="1"/>
    <w:rsid w:val="0088516D"/>
    <w:rPr>
      <w:rFonts w:ascii="Arial" w:eastAsia="Arial" w:hAnsi="Arial" w:cs="Arial"/>
      <w:sz w:val="20"/>
      <w:szCs w:val="20"/>
      <w:lang w:val="en-US"/>
    </w:rPr>
  </w:style>
  <w:style w:type="paragraph" w:customStyle="1" w:styleId="Default">
    <w:name w:val="Default"/>
    <w:rsid w:val="008C25B6"/>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961">
      <w:bodyDiv w:val="1"/>
      <w:marLeft w:val="0"/>
      <w:marRight w:val="0"/>
      <w:marTop w:val="0"/>
      <w:marBottom w:val="0"/>
      <w:divBdr>
        <w:top w:val="none" w:sz="0" w:space="0" w:color="auto"/>
        <w:left w:val="none" w:sz="0" w:space="0" w:color="auto"/>
        <w:bottom w:val="none" w:sz="0" w:space="0" w:color="auto"/>
        <w:right w:val="none" w:sz="0" w:space="0" w:color="auto"/>
      </w:divBdr>
    </w:div>
    <w:div w:id="190610857">
      <w:bodyDiv w:val="1"/>
      <w:marLeft w:val="0"/>
      <w:marRight w:val="0"/>
      <w:marTop w:val="0"/>
      <w:marBottom w:val="0"/>
      <w:divBdr>
        <w:top w:val="none" w:sz="0" w:space="0" w:color="auto"/>
        <w:left w:val="none" w:sz="0" w:space="0" w:color="auto"/>
        <w:bottom w:val="none" w:sz="0" w:space="0" w:color="auto"/>
        <w:right w:val="none" w:sz="0" w:space="0" w:color="auto"/>
      </w:divBdr>
    </w:div>
    <w:div w:id="205601333">
      <w:bodyDiv w:val="1"/>
      <w:marLeft w:val="0"/>
      <w:marRight w:val="0"/>
      <w:marTop w:val="0"/>
      <w:marBottom w:val="0"/>
      <w:divBdr>
        <w:top w:val="none" w:sz="0" w:space="0" w:color="auto"/>
        <w:left w:val="none" w:sz="0" w:space="0" w:color="auto"/>
        <w:bottom w:val="none" w:sz="0" w:space="0" w:color="auto"/>
        <w:right w:val="none" w:sz="0" w:space="0" w:color="auto"/>
      </w:divBdr>
    </w:div>
    <w:div w:id="722631730">
      <w:bodyDiv w:val="1"/>
      <w:marLeft w:val="0"/>
      <w:marRight w:val="0"/>
      <w:marTop w:val="0"/>
      <w:marBottom w:val="0"/>
      <w:divBdr>
        <w:top w:val="none" w:sz="0" w:space="0" w:color="auto"/>
        <w:left w:val="none" w:sz="0" w:space="0" w:color="auto"/>
        <w:bottom w:val="none" w:sz="0" w:space="0" w:color="auto"/>
        <w:right w:val="none" w:sz="0" w:space="0" w:color="auto"/>
      </w:divBdr>
    </w:div>
    <w:div w:id="798838627">
      <w:bodyDiv w:val="1"/>
      <w:marLeft w:val="0"/>
      <w:marRight w:val="0"/>
      <w:marTop w:val="0"/>
      <w:marBottom w:val="0"/>
      <w:divBdr>
        <w:top w:val="none" w:sz="0" w:space="0" w:color="auto"/>
        <w:left w:val="none" w:sz="0" w:space="0" w:color="auto"/>
        <w:bottom w:val="none" w:sz="0" w:space="0" w:color="auto"/>
        <w:right w:val="none" w:sz="0" w:space="0" w:color="auto"/>
      </w:divBdr>
    </w:div>
    <w:div w:id="1426997494">
      <w:bodyDiv w:val="1"/>
      <w:marLeft w:val="0"/>
      <w:marRight w:val="0"/>
      <w:marTop w:val="0"/>
      <w:marBottom w:val="0"/>
      <w:divBdr>
        <w:top w:val="none" w:sz="0" w:space="0" w:color="auto"/>
        <w:left w:val="none" w:sz="0" w:space="0" w:color="auto"/>
        <w:bottom w:val="none" w:sz="0" w:space="0" w:color="auto"/>
        <w:right w:val="none" w:sz="0" w:space="0" w:color="auto"/>
      </w:divBdr>
    </w:div>
    <w:div w:id="1491872007">
      <w:bodyDiv w:val="1"/>
      <w:marLeft w:val="0"/>
      <w:marRight w:val="0"/>
      <w:marTop w:val="0"/>
      <w:marBottom w:val="0"/>
      <w:divBdr>
        <w:top w:val="none" w:sz="0" w:space="0" w:color="auto"/>
        <w:left w:val="none" w:sz="0" w:space="0" w:color="auto"/>
        <w:bottom w:val="none" w:sz="0" w:space="0" w:color="auto"/>
        <w:right w:val="none" w:sz="0" w:space="0" w:color="auto"/>
      </w:divBdr>
    </w:div>
    <w:div w:id="1745832471">
      <w:bodyDiv w:val="1"/>
      <w:marLeft w:val="0"/>
      <w:marRight w:val="0"/>
      <w:marTop w:val="0"/>
      <w:marBottom w:val="0"/>
      <w:divBdr>
        <w:top w:val="none" w:sz="0" w:space="0" w:color="auto"/>
        <w:left w:val="none" w:sz="0" w:space="0" w:color="auto"/>
        <w:bottom w:val="none" w:sz="0" w:space="0" w:color="auto"/>
        <w:right w:val="none" w:sz="0" w:space="0" w:color="auto"/>
      </w:divBdr>
    </w:div>
    <w:div w:id="1855028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fikr\Desktop\SUPREME\Projects-Programme%20Infosheet%20Template-adisa.dotx" TargetMode="External"/></Relationships>
</file>

<file path=word/theme/theme1.xml><?xml version="1.0" encoding="utf-8"?>
<a:theme xmlns:a="http://schemas.openxmlformats.org/drawingml/2006/main" name="Office-Design">
  <a:themeElements>
    <a:clrScheme name="ICMPD">
      <a:dk1>
        <a:srgbClr val="53504F"/>
      </a:dk1>
      <a:lt1>
        <a:srgbClr val="FFFFFF"/>
      </a:lt1>
      <a:dk2>
        <a:srgbClr val="53504F"/>
      </a:dk2>
      <a:lt2>
        <a:srgbClr val="FFFFFF"/>
      </a:lt2>
      <a:accent1>
        <a:srgbClr val="E1B612"/>
      </a:accent1>
      <a:accent2>
        <a:srgbClr val="616365"/>
      </a:accent2>
      <a:accent3>
        <a:srgbClr val="BFBFBF"/>
      </a:accent3>
      <a:accent4>
        <a:srgbClr val="466289"/>
      </a:accent4>
      <a:accent5>
        <a:srgbClr val="68BD9F"/>
      </a:accent5>
      <a:accent6>
        <a:srgbClr val="E9502D"/>
      </a:accent6>
      <a:hlink>
        <a:srgbClr val="0563C1"/>
      </a:hlink>
      <a:folHlink>
        <a:srgbClr val="954F72"/>
      </a:folHlink>
    </a:clrScheme>
    <a:fontScheme name="ICMP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age xmlns="5ce80435-5a8e-4ab3-b083-e430ac2274d7">Obligatory</Usage>
    <Approval_x0020_Date xmlns="5ce80435-5a8e-4ab3-b083-e430ac2274d7">2018-06-18T22:00:00+00:00</Approval_x0020_Date>
    <Status xmlns="5ce80435-5a8e-4ab3-b083-e430ac2274d7">Released</Status>
    <Comments xmlns="5ce80435-5a8e-4ab3-b083-e430ac2274d7" xsi:nil="true"/>
    <Sharing_x0020_Permissions xmlns="5ce80435-5a8e-4ab3-b083-e430ac2274d7">External sharing requires authorisation</Sharing_x0020_Permissions>
    <Responsible xmlns="5ce80435-5a8e-4ab3-b083-e430ac2274d7">Comm</Responsible>
    <Access_x0020_Info xmlns="5ce80435-5a8e-4ab3-b083-e430ac2274d7">
      <Value>ICMPD Staff</Value>
    </Access_x0020_Info>
    <Storage xmlns="5ce80435-5a8e-4ab3-b083-e430ac2274d7" xsi:nil="true"/>
    <e170eddbf09d41cfb95ce47f4d4ac9ea xmlns="5ce80435-5a8e-4ab3-b083-e430ac2274d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feac7b51-f68e-41ca-92cb-dac360edd8cc</TermId>
        </TermInfo>
      </Terms>
    </e170eddbf09d41cfb95ce47f4d4ac9ea>
    <File_x0020_Name xmlns="5ce80435-5a8e-4ab3-b083-e430ac2274d7" xsi:nil="true"/>
    <Released_x0020_When xmlns="5ce80435-5a8e-4ab3-b083-e430ac2274d7" xsi:nil="true"/>
    <Applicable_x0020_from xmlns="5ce80435-5a8e-4ab3-b083-e430ac2274d7">2018-06-30T22:00:00+00:00</Applicable_x0020_from>
    <TaxCatchAll xmlns="acc3e39d-8abc-4fa9-ac8f-e176152fecb2">
      <Value>1</Value>
      <Value>22</Value>
      <Value>147</Value>
    </TaxCatchAll>
    <Approver xmlns="5ce80435-5a8e-4ab3-b083-e430ac2274d7">Comm</Approver>
    <d0e581c4ead846a7b1d5ced8abfac286 xmlns="5ce80435-5a8e-4ab3-b083-e430ac2274d7">
      <Terms xmlns="http://schemas.microsoft.com/office/infopath/2007/PartnerControls">
        <TermInfo xmlns="http://schemas.microsoft.com/office/infopath/2007/PartnerControls">
          <TermName xmlns="http://schemas.microsoft.com/office/infopath/2007/PartnerControls">Visibility</TermName>
          <TermId xmlns="http://schemas.microsoft.com/office/infopath/2007/PartnerControls">09ebd55c-3895-47ee-8ebe-8263fdc350d5</TermId>
        </TermInfo>
      </Terms>
    </d0e581c4ead846a7b1d5ced8abfac286>
    <Level xmlns="5ce80435-5a8e-4ab3-b083-e430ac2274d7">Implementation</Level>
    <fea76ea33bde413386a7a285cc89d252 xmlns="5ce80435-5a8e-4ab3-b083-e430ac2274d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79ca76c1-2581-47c9-8601-b260cbe2f58d</TermId>
        </TermInfo>
      </Terms>
    </fea76ea33bde413386a7a285cc89d252>
    <Document_x0020_Owners xmlns="5ce80435-5a8e-4ab3-b083-e430ac2274d7">
      <UserInfo>
        <DisplayName/>
        <AccountId xsi:nil="true"/>
        <AccountType/>
      </UserInfo>
    </Document_x0020_Own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C77A3672507143B9CA1F6DD646B524" ma:contentTypeVersion="46" ma:contentTypeDescription="Create a new document." ma:contentTypeScope="" ma:versionID="13627c430f20eb346c44c2cf51b128ee">
  <xsd:schema xmlns:xsd="http://www.w3.org/2001/XMLSchema" xmlns:xs="http://www.w3.org/2001/XMLSchema" xmlns:p="http://schemas.microsoft.com/office/2006/metadata/properties" xmlns:ns2="5ce80435-5a8e-4ab3-b083-e430ac2274d7" xmlns:ns3="acc3e39d-8abc-4fa9-ac8f-e176152fecb2" xmlns:ns4="cbf8136b-2253-4f57-bdf2-68741d59208a" targetNamespace="http://schemas.microsoft.com/office/2006/metadata/properties" ma:root="true" ma:fieldsID="3ed2a5de7b72271712ea66b3ee96e1e7" ns2:_="" ns3:_="" ns4:_="">
    <xsd:import namespace="5ce80435-5a8e-4ab3-b083-e430ac2274d7"/>
    <xsd:import namespace="acc3e39d-8abc-4fa9-ac8f-e176152fecb2"/>
    <xsd:import namespace="cbf8136b-2253-4f57-bdf2-68741d59208a"/>
    <xsd:element name="properties">
      <xsd:complexType>
        <xsd:sequence>
          <xsd:element name="documentManagement">
            <xsd:complexType>
              <xsd:all>
                <xsd:element ref="ns2:Level"/>
                <xsd:element ref="ns2:Status"/>
                <xsd:element ref="ns2:Applicable_x0020_from" minOccurs="0"/>
                <xsd:element ref="ns2:Usage"/>
                <xsd:element ref="ns2:Responsible"/>
                <xsd:element ref="ns2:Storage" minOccurs="0"/>
                <xsd:element ref="ns2:Sharing_x0020_Permissions"/>
                <xsd:element ref="ns2:Approver"/>
                <xsd:element ref="ns2:Approval_x0020_Date" minOccurs="0"/>
                <xsd:element ref="ns2:Released_x0020_When" minOccurs="0"/>
                <xsd:element ref="ns2:Comments" minOccurs="0"/>
                <xsd:element ref="ns2:Access_x0020_Info" minOccurs="0"/>
                <xsd:element ref="ns2:e170eddbf09d41cfb95ce47f4d4ac9ea" minOccurs="0"/>
                <xsd:element ref="ns3:TaxCatchAll" minOccurs="0"/>
                <xsd:element ref="ns2:fea76ea33bde413386a7a285cc89d252" minOccurs="0"/>
                <xsd:element ref="ns2:File_x0020_Name" minOccurs="0"/>
                <xsd:element ref="ns4:SharedWithUsers" minOccurs="0"/>
                <xsd:element ref="ns2:d0e581c4ead846a7b1d5ced8abfac286" minOccurs="0"/>
                <xsd:element ref="ns2:Document_x0020_Own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80435-5a8e-4ab3-b083-e430ac2274d7" elementFormDefault="qualified">
    <xsd:import namespace="http://schemas.microsoft.com/office/2006/documentManagement/types"/>
    <xsd:import namespace="http://schemas.microsoft.com/office/infopath/2007/PartnerControls"/>
    <xsd:element name="Level" ma:index="5" ma:displayName="Level" ma:default="Reference" ma:description="as per Controlled Documents Manual - check consistency with content type!" ma:format="Dropdown" ma:internalName="Level">
      <xsd:simpleType>
        <xsd:restriction base="dms:Choice">
          <xsd:enumeration value="Reference"/>
          <xsd:enumeration value="Legal"/>
          <xsd:enumeration value="Implementation"/>
          <xsd:enumeration value="Normative"/>
          <xsd:enumeration value="Policy"/>
        </xsd:restriction>
      </xsd:simpleType>
    </xsd:element>
    <xsd:element name="Status" ma:index="7" ma:displayName="Status" ma:default="Draft" ma:description="Only released documents are shown in the document matrix to all staff; drafts can be seen in the draft section by QMS Team Members; void documents only in 'All documents' view by QMS Team Members - documents are voided by MSS upon request." ma:format="Dropdown" ma:internalName="Status">
      <xsd:simpleType>
        <xsd:restriction base="dms:Choice">
          <xsd:enumeration value="Draft"/>
          <xsd:enumeration value="Released"/>
          <xsd:enumeration value="Void"/>
        </xsd:restriction>
      </xsd:simpleType>
    </xsd:element>
    <xsd:element name="Applicable_x0020_from" ma:index="8" nillable="true" ma:displayName="Effective from" ma:format="DateOnly" ma:indexed="true" ma:internalName="Applicable_x0020_from">
      <xsd:simpleType>
        <xsd:restriction base="dms:DateTime"/>
      </xsd:simpleType>
    </xsd:element>
    <xsd:element name="Usage" ma:index="9" ma:displayName="Usage" ma:default="Information" ma:description="Reference documents and samples are usually for information; specific forms used in processes usually obligatory; recommended forms/templates are optional" ma:format="Dropdown" ma:internalName="Usage">
      <xsd:simpleType>
        <xsd:restriction base="dms:Choice">
          <xsd:enumeration value="Information"/>
          <xsd:enumeration value="Obligatory"/>
          <xsd:enumeration value="Optional"/>
        </xsd:restriction>
      </xsd:simpleType>
    </xsd:element>
    <xsd:element name="Responsible" ma:index="10" ma:displayName="Responsible" ma:description="Entity responsible for the document" ma:format="Dropdown" ma:internalName="Responsible">
      <xsd:simpleType>
        <xsd:restriction base="dms:Choice">
          <xsd:enumeration value="CFM"/>
          <xsd:enumeration value="CRM"/>
          <xsd:enumeration value="ER"/>
          <xsd:enumeration value="MSS"/>
          <xsd:enumeration value="PMOD"/>
          <xsd:enumeration value="Comm"/>
          <xsd:enumeration value="SEC"/>
          <xsd:enumeration value="DGS"/>
          <xsd:enumeration value="OM"/>
          <xsd:enumeration value="ICT"/>
          <xsd:enumeration value="PRS"/>
          <xsd:enumeration value="ISA ExCom"/>
          <xsd:enumeration value="R&amp;D"/>
          <xsd:enumeration value="DG"/>
          <xsd:enumeration value="BXL"/>
        </xsd:restriction>
      </xsd:simpleType>
    </xsd:element>
    <xsd:element name="Storage" ma:index="11" nillable="true" ma:displayName="Storage" ma:description="include website/ICMPDnet link, if relevant" ma:internalName="Storage">
      <xsd:simpleType>
        <xsd:restriction base="dms:Text">
          <xsd:maxLength value="255"/>
        </xsd:restriction>
      </xsd:simpleType>
    </xsd:element>
    <xsd:element name="Sharing_x0020_Permissions" ma:index="12" ma:displayName="Sharing Permissions" ma:default="Internal Allowed" ma:format="Dropdown" ma:internalName="Sharing_x0020_Permissions">
      <xsd:simpleType>
        <xsd:restriction base="dms:Choice">
          <xsd:enumeration value="External sharing requires authorisation"/>
          <xsd:enumeration value="External sharing authorised"/>
          <xsd:enumeration value="Internal Allowed"/>
          <xsd:enumeration value="Distribution List only"/>
        </xsd:restriction>
      </xsd:simpleType>
    </xsd:element>
    <xsd:element name="Approver" ma:index="13" ma:displayName="Approver" ma:description="Last name of the person approving" ma:format="Dropdown" ma:internalName="Approver">
      <xsd:simpleType>
        <xsd:union memberTypes="dms:Text">
          <xsd:simpleType>
            <xsd:restriction base="dms:Choice">
              <xsd:enumeration value="SG"/>
              <xsd:enumeration value="Spindelegger"/>
              <xsd:enumeration value="Abado"/>
              <xsd:enumeration value="Pohnitzer"/>
              <xsd:enumeration value="Tyrkko"/>
              <xsd:enumeration value="Schragl"/>
              <xsd:enumeration value="Moder"/>
              <xsd:enumeration value="Genetzke"/>
              <xsd:enumeration value="Vadaska"/>
              <xsd:enumeration value="Blacher"/>
              <xsd:enumeration value="Kraler"/>
              <xsd:enumeration value="Pfaller"/>
              <xsd:enumeration value="External"/>
              <xsd:enumeration value="Internal Auditors"/>
              <xsd:enumeration value="ISA"/>
              <xsd:enumeration value="Schoen"/>
              <xsd:enumeration value="Widermann"/>
              <xsd:enumeration value="Klinglmair"/>
              <xsd:enumeration value="Nichols"/>
            </xsd:restriction>
          </xsd:simpleType>
        </xsd:union>
      </xsd:simpleType>
    </xsd:element>
    <xsd:element name="Approval_x0020_Date" ma:index="14" nillable="true" ma:displayName="Approval Date" ma:format="DateOnly" ma:internalName="Approval_x0020_Date">
      <xsd:simpleType>
        <xsd:restriction base="dms:DateTime"/>
      </xsd:simpleType>
    </xsd:element>
    <xsd:element name="Released_x0020_When" ma:index="15" nillable="true" ma:displayName="Released When" ma:format="DateOnly" ma:internalName="Released_x0020_When">
      <xsd:simpleType>
        <xsd:restriction base="dms:DateTime"/>
      </xsd:simpleType>
    </xsd:element>
    <xsd:element name="Comments" ma:index="16" nillable="true" ma:displayName="Comments" ma:description="Should only be used for comments that relate to the document as such, i.e. regardless of version" ma:internalName="Comments">
      <xsd:simpleType>
        <xsd:restriction base="dms:Text">
          <xsd:maxLength value="255"/>
        </xsd:restriction>
      </xsd:simpleType>
    </xsd:element>
    <xsd:element name="Access_x0020_Info" ma:index="17" nillable="true" ma:displayName="Access Info" ma:default="ICMPD Employees" ma:description="Default value is Employees (i.e. everyone) - to be changed only by MSS: if not everyone should see any specific document you need to request restriction of permission from MSS. After changing permission level MSS updates this field." ma:internalName="Access_x0020_Info" ma:requiredMultiChoice="true">
      <xsd:complexType>
        <xsd:complexContent>
          <xsd:extension base="dms:MultiChoice">
            <xsd:sequence>
              <xsd:element name="Value" maxOccurs="unbounded" minOccurs="0" nillable="true">
                <xsd:simpleType>
                  <xsd:restriction base="dms:Choice">
                    <xsd:enumeration value="ICMPD Employees"/>
                    <xsd:enumeration value="ICMPD Staff"/>
                    <xsd:enumeration value="HQ Staff"/>
                    <xsd:enumeration value="ExM"/>
                    <xsd:enumeration value="MSS"/>
                    <xsd:enumeration value="Internal Auditors"/>
                    <xsd:enumeration value="CFM"/>
                    <xsd:enumeration value="Comm"/>
                    <xsd:enumeration value="Field Offices"/>
                    <xsd:enumeration value="CRM"/>
                    <xsd:enumeration value="PMOD"/>
                    <xsd:enumeration value="ICT"/>
                    <xsd:enumeration value="ISA"/>
                    <xsd:enumeration value="SEC"/>
                    <xsd:enumeration value="DGS"/>
                    <xsd:enumeration value="M-M"/>
                    <xsd:enumeration value="R&amp;D"/>
                    <xsd:enumeration value="ER"/>
                    <xsd:enumeration value="Petty Cash Custodians"/>
                    <xsd:enumeration value="PjMs"/>
                    <xsd:enumeration value="QMS Team"/>
                  </xsd:restriction>
                </xsd:simpleType>
              </xsd:element>
            </xsd:sequence>
          </xsd:extension>
        </xsd:complexContent>
      </xsd:complexType>
    </xsd:element>
    <xsd:element name="e170eddbf09d41cfb95ce47f4d4ac9ea" ma:index="22" ma:taxonomy="true" ma:internalName="e170eddbf09d41cfb95ce47f4d4ac9ea" ma:taxonomyFieldName="Content_x0020_Type" ma:displayName="Content Type" ma:default="" ma:fieldId="{e170eddb-f09d-41cf-b95c-e47f4d4ac9ea}" ma:taxonomyMulti="true" ma:sspId="1926cf99-9928-4229-b80a-dcdb7c18774c" ma:termSetId="4e289c1c-f818-4c4a-941b-84b47807c219" ma:anchorId="34e1e305-89dd-4614-8a81-05af98dc6bc0" ma:open="false" ma:isKeyword="false">
      <xsd:complexType>
        <xsd:sequence>
          <xsd:element ref="pc:Terms" minOccurs="0" maxOccurs="1"/>
        </xsd:sequence>
      </xsd:complexType>
    </xsd:element>
    <xsd:element name="fea76ea33bde413386a7a285cc89d252" ma:index="26" ma:taxonomy="true" ma:internalName="fea76ea33bde413386a7a285cc89d252" ma:taxonomyFieldName="Language" ma:displayName="Language" ma:indexed="true" ma:default="" ma:fieldId="{fea76ea3-3bde-4133-86a7-a285cc89d252}" ma:sspId="1926cf99-9928-4229-b80a-dcdb7c18774c" ma:termSetId="a59aa68d-76d9-4c5a-9781-638d80f90de1" ma:anchorId="00000000-0000-0000-0000-000000000000" ma:open="false" ma:isKeyword="false">
      <xsd:complexType>
        <xsd:sequence>
          <xsd:element ref="pc:Terms" minOccurs="0" maxOccurs="1"/>
        </xsd:sequence>
      </xsd:complexType>
    </xsd:element>
    <xsd:element name="File_x0020_Name" ma:index="27" nillable="true" ma:displayName="File Name" ma:description="Short name, without underscores, dates and numbers (unless a record)" ma:internalName="File_x0020_Name">
      <xsd:simpleType>
        <xsd:restriction base="dms:Text">
          <xsd:maxLength value="255"/>
        </xsd:restriction>
      </xsd:simpleType>
    </xsd:element>
    <xsd:element name="d0e581c4ead846a7b1d5ced8abfac286" ma:index="29" nillable="true" ma:taxonomy="true" ma:internalName="d0e581c4ead846a7b1d5ced8abfac286" ma:taxonomyFieldName="Key_x0020_Words" ma:displayName="Key Words" ma:default="" ma:fieldId="{d0e581c4-ead8-46a7-b1d5-ced8abfac286}" ma:taxonomyMulti="true" ma:sspId="1926cf99-9928-4229-b80a-dcdb7c18774c" ma:termSetId="982b6ffc-6274-4031-822d-2a4a6ff01552" ma:anchorId="00000000-0000-0000-0000-000000000000" ma:open="false" ma:isKeyword="false">
      <xsd:complexType>
        <xsd:sequence>
          <xsd:element ref="pc:Terms" minOccurs="0" maxOccurs="1"/>
        </xsd:sequence>
      </xsd:complexType>
    </xsd:element>
    <xsd:element name="Document_x0020_Owners" ma:index="30" nillable="true" ma:displayName="Document Owners" ma:description="Only filled by MSS (upon request by QMS Team Member responsible): person, if any, who has been granted exceptional permanent design permissions for this specific document; i.e. anyone who is not a QMS Team Member" ma:list="UserInfo" ma:SharePointGroup="0" ma:internalName="Document_x0020_Own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c3e39d-8abc-4fa9-ac8f-e176152fecb2"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0db80c1a-e42c-4d74-9331-ea1e9069b3b9}" ma:internalName="TaxCatchAll" ma:showField="CatchAllData" ma:web="cbf8136b-2253-4f57-bdf2-68741d592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f8136b-2253-4f57-bdf2-68741d59208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F6C1C-D4C7-42E8-90D4-8C625E3BF99E}">
  <ds:schemaRefs>
    <ds:schemaRef ds:uri="http://schemas.openxmlformats.org/officeDocument/2006/bibliography"/>
  </ds:schemaRefs>
</ds:datastoreItem>
</file>

<file path=customXml/itemProps2.xml><?xml version="1.0" encoding="utf-8"?>
<ds:datastoreItem xmlns:ds="http://schemas.openxmlformats.org/officeDocument/2006/customXml" ds:itemID="{7DEB1E95-F78E-45FC-B1F0-5CE5F79CE44E}">
  <ds:schemaRefs>
    <ds:schemaRef ds:uri="http://schemas.microsoft.com/sharepoint/v3/contenttype/forms"/>
  </ds:schemaRefs>
</ds:datastoreItem>
</file>

<file path=customXml/itemProps3.xml><?xml version="1.0" encoding="utf-8"?>
<ds:datastoreItem xmlns:ds="http://schemas.openxmlformats.org/officeDocument/2006/customXml" ds:itemID="{F2EE378C-5874-4E5D-9A79-FB967AD68EC4}">
  <ds:schemaRefs>
    <ds:schemaRef ds:uri="http://schemas.microsoft.com/office/2006/metadata/properties"/>
    <ds:schemaRef ds:uri="http://schemas.microsoft.com/office/infopath/2007/PartnerControls"/>
    <ds:schemaRef ds:uri="5ce80435-5a8e-4ab3-b083-e430ac2274d7"/>
    <ds:schemaRef ds:uri="acc3e39d-8abc-4fa9-ac8f-e176152fecb2"/>
  </ds:schemaRefs>
</ds:datastoreItem>
</file>

<file path=customXml/itemProps4.xml><?xml version="1.0" encoding="utf-8"?>
<ds:datastoreItem xmlns:ds="http://schemas.openxmlformats.org/officeDocument/2006/customXml" ds:itemID="{9A2D2198-09BA-497F-B810-1CCC711E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80435-5a8e-4ab3-b083-e430ac2274d7"/>
    <ds:schemaRef ds:uri="acc3e39d-8abc-4fa9-ac8f-e176152fecb2"/>
    <ds:schemaRef ds:uri="cbf8136b-2253-4f57-bdf2-68741d592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Projects-Programme Infosheet Template-adisa</Template>
  <TotalTime>5</TotalTime>
  <Pages>2</Pages>
  <Words>655</Words>
  <Characters>3734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Project Template</vt:lpstr>
      <vt:lpstr/>
    </vt:vector>
  </TitlesOfParts>
  <Company>Microsoft</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Template</dc:title>
  <dc:creator>Refik Rafi</dc:creator>
  <cp:lastModifiedBy>Mutlu Mirkan</cp:lastModifiedBy>
  <cp:revision>7</cp:revision>
  <cp:lastPrinted>2019-06-25T12:12:00Z</cp:lastPrinted>
  <dcterms:created xsi:type="dcterms:W3CDTF">2023-08-29T06:33:00Z</dcterms:created>
  <dcterms:modified xsi:type="dcterms:W3CDTF">2023-09-01T11:25:00Z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0x0101007EC77A3672507143B9CA1F6DD646B524</vt:lpwstr>
  </property>
  <property fmtid="{D5CDD505-2E9C-101B-9397-08002B2CF9AE}" pid="3" name="Language">
    <vt:lpwstr>1;#English|79ca76c1-2581-47c9-8601-b260cbe2f58d</vt:lpwstr>
  </property>
  <property fmtid="{D5CDD505-2E9C-101B-9397-08002B2CF9AE}" pid="4" name="Key Words">
    <vt:lpwstr>147;#Visibility|09ebd55c-3895-47ee-8ebe-8263fdc350d5</vt:lpwstr>
  </property>
  <property fmtid="{D5CDD505-2E9C-101B-9397-08002B2CF9AE}" pid="5" name="Content Type">
    <vt:lpwstr>22;#Template|feac7b51-f68e-41ca-92cb-dac360edd8cc</vt:lpwstr>
  </property>
  <property fmtid="{D5CDD505-2E9C-101B-9397-08002B2CF9AE}" pid="6" name="Order">
    <vt:r8>108600</vt:r8>
  </property>
</Properties>
</file>